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7fc84dd2e84c5525848a705d6ff2359c383360f"/>
    <w:p>
      <w:pPr>
        <w:pStyle w:val="Heading1"/>
      </w:pPr>
      <w:r>
        <w:t xml:space="preserve">Bureau Of Alcohol, Tobacco, Firearms And Explosives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Schweikert Voted For Cutting ATF Funding By $65 Million.</w:t>
      </w:r>
      <w:r>
        <w:t xml:space="preserve"> </w:t>
      </w:r>
      <w:r>
        <w:t xml:space="preserve">In September 2017, Schweikert voted for an amendment that would have, according to Congressional Quarterly,</w:t>
      </w:r>
      <w:r>
        <w:t xml:space="preserve"> </w:t>
      </w:r>
      <w:r>
        <w:t xml:space="preserve">“</w:t>
      </w:r>
      <w:r>
        <w:t xml:space="preserve">decrease[d] funding for the Department of Justice’s Bureau of Alcohol, Tobacco, Firearms and Explosives by $64.7 million, and would [sic] and transfer[ed] the savings to the department’s spending reduction account.</w:t>
      </w:r>
      <w:r>
        <w:t xml:space="preserve">”</w:t>
      </w:r>
      <w:r>
        <w:t xml:space="preserve"> </w:t>
      </w:r>
      <w:r>
        <w:t xml:space="preserve">The underlying legislation was a legislative vehicle for an FY 2018 Omnibus appropriations bill. The House rejected the amendment by a vote of 98 to 313. The House later passed the overall bill. The Senate took no substantive action on the overall legislation. [House Vote 494,</w:t>
      </w:r>
      <w:r>
        <w:t xml:space="preserve"> </w:t>
      </w:r>
      <w:hyperlink r:id="rId20">
        <w:r>
          <w:rPr>
            <w:rStyle w:val="Hyperlink"/>
          </w:rPr>
          <w:t xml:space="preserve">9/13/17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9/13/17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 Amdt. 370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3354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494.xml" TargetMode="External" /><Relationship Type="http://schemas.openxmlformats.org/officeDocument/2006/relationships/hyperlink" Id="rId21" Target="http://cq.com/vote/2017/H/494?0" TargetMode="External" /><Relationship Type="http://schemas.openxmlformats.org/officeDocument/2006/relationships/hyperlink" Id="rId22" Target="https://www.congress.gov/amendment/115th-congress/house-amendment/378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494.xml" TargetMode="External" /><Relationship Type="http://schemas.openxmlformats.org/officeDocument/2006/relationships/hyperlink" Id="rId21" Target="http://cq.com/vote/2017/H/494?0" TargetMode="External" /><Relationship Type="http://schemas.openxmlformats.org/officeDocument/2006/relationships/hyperlink" Id="rId22" Target="https://www.congress.gov/amendment/115th-congress/house-amendment/378/actions" TargetMode="External" /><Relationship Type="http://schemas.openxmlformats.org/officeDocument/2006/relationships/hyperlink" Id="rId23" Target="https://www.congress.gov/bill/115th-congress/house-bill/33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2026-01-27T02:09:45Z</dcterms:created>
  <dcterms:modified xsi:type="dcterms:W3CDTF">2026-01-27T02:09:45Z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