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general-services-administration"/>
    <w:p>
      <w:pPr>
        <w:pStyle w:val="Heading1"/>
      </w:pPr>
      <w:r>
        <w:t xml:space="preserve">General Services Administration</w:t>
      </w:r>
    </w:p>
    <w:bookmarkStart w:id="26" w:name="funding"/>
    <w:p>
      <w:pPr>
        <w:pStyle w:val="Heading3"/>
      </w:pPr>
      <w:r>
        <w:t xml:space="preserve">Funding</w:t>
      </w:r>
    </w:p>
    <w:p>
      <w:pPr>
        <w:pStyle w:val="FirstParagraph"/>
      </w:pPr>
      <w:r>
        <w:rPr>
          <w:bCs/>
          <w:b/>
        </w:rPr>
        <w:t xml:space="preserve">2021: Schweikert Effectively Voted Against A Manager’s Amendment To The Build Back Better Act, Which Would Authorize $450 Million For The Technological Modernization And Citizen Services Funds At The General Services Administration And $50 Million To The Information Technology Oversight And Reform Fund At The Office Of Management And Budget.</w:t>
      </w:r>
      <w:r>
        <w:t xml:space="preserve"> </w:t>
      </w:r>
      <w:r>
        <w:t xml:space="preserve">In November 2021, Schweikert voted against the adoption of the rule which would, according to Congressional Quarterly,</w:t>
      </w:r>
      <w:r>
        <w:t xml:space="preserve"> </w:t>
      </w:r>
      <w:r>
        <w:t xml:space="preserve">“</w:t>
      </w:r>
      <w:r>
        <w:t xml:space="preserve">provide $250 for the General Services Administration's technology modernization fund, $200 million for the GSA's citizen services fund, and $50 million for Office of Management and Budget's information technology oversight and reform fund; and make various technical corrections.</w:t>
      </w:r>
      <w:r>
        <w:t xml:space="preserve">”</w:t>
      </w:r>
      <w:r>
        <w:t xml:space="preserve"> </w:t>
      </w:r>
      <w:r>
        <w:t xml:space="preserve">The vote was on the adoption of the rule. The House adopted the rule by a vote of 221-213, thus the manager’s amendment was automatically adopted. [House Vote 372,</w:t>
      </w:r>
      <w:r>
        <w:t xml:space="preserve"> </w:t>
      </w:r>
      <w:hyperlink r:id="rId20">
        <w:r>
          <w:rPr>
            <w:rStyle w:val="Hyperlink"/>
          </w:rPr>
          <w:t xml:space="preserve">11/6/21</w:t>
        </w:r>
      </w:hyperlink>
      <w:r>
        <w:t xml:space="preserve">; Congressional Quarterly,</w:t>
      </w:r>
      <w:r>
        <w:t xml:space="preserve"> </w:t>
      </w:r>
      <w:hyperlink r:id="rId21">
        <w:r>
          <w:rPr>
            <w:rStyle w:val="Hyperlink"/>
          </w:rPr>
          <w:t xml:space="preserve">11/6/21</w:t>
        </w:r>
      </w:hyperlink>
      <w:r>
        <w:t xml:space="preserve">; Congressional Actions,</w:t>
      </w:r>
      <w:r>
        <w:t xml:space="preserve"> </w:t>
      </w:r>
      <w:hyperlink r:id="rId22">
        <w:r>
          <w:rPr>
            <w:rStyle w:val="Hyperlink"/>
          </w:rPr>
          <w:t xml:space="preserve">H.R. 5376</w:t>
        </w:r>
      </w:hyperlink>
      <w:r>
        <w:t xml:space="preserve">; Congressional Actions,</w:t>
      </w:r>
      <w:r>
        <w:t xml:space="preserve"> </w:t>
      </w:r>
      <w:hyperlink r:id="rId23">
        <w:r>
          <w:rPr>
            <w:rStyle w:val="Hyperlink"/>
          </w:rPr>
          <w:t xml:space="preserve">H.Res. 774</w:t>
        </w:r>
      </w:hyperlink>
      <w:r>
        <w:t xml:space="preserve">]</w:t>
      </w:r>
    </w:p>
    <w:p>
      <w:pPr>
        <w:pStyle w:val="BodyText"/>
      </w:pPr>
      <w:r>
        <w:rPr>
          <w:bCs/>
          <w:b/>
        </w:rPr>
        <w:t xml:space="preserve">2021: Schweikert Effectively Voted Against A Manager’s Amendment To The Build Back Better Act, Which Would Authorize $450 Million For The Technological Modernization And Citizen Services Funds At The General Services Administration And $50 Million To The Information Technology Oversight And Reform Fund At The Office Of Management And Budget.</w:t>
      </w:r>
      <w:r>
        <w:t xml:space="preserve"> </w:t>
      </w:r>
      <w:r>
        <w:t xml:space="preserve">In November 2021, Schweikert voted against the motion to order the previous question on the rule which would, according to Congressional Quarterly,</w:t>
      </w:r>
      <w:r>
        <w:t xml:space="preserve"> </w:t>
      </w:r>
      <w:r>
        <w:t xml:space="preserve">“</w:t>
      </w:r>
      <w:r>
        <w:t xml:space="preserve">provide $250 for the General Services Administration's technology modernization fund, $200 million for the GSA's citizen services fund, and $50 million for Office of Management and Budget's information technology oversight and reform fund; and make various technical corrections.</w:t>
      </w:r>
      <w:r>
        <w:t xml:space="preserve">”</w:t>
      </w:r>
      <w:r>
        <w:t xml:space="preserve"> </w:t>
      </w:r>
      <w:r>
        <w:t xml:space="preserve">The vote was on a motion to order the previous question. The House agreed to the motion by a vote of 221-213. [House Vote 371,</w:t>
      </w:r>
      <w:r>
        <w:t xml:space="preserve"> </w:t>
      </w:r>
      <w:hyperlink r:id="rId24">
        <w:r>
          <w:rPr>
            <w:rStyle w:val="Hyperlink"/>
          </w:rPr>
          <w:t xml:space="preserve">11/6/21</w:t>
        </w:r>
      </w:hyperlink>
      <w:r>
        <w:t xml:space="preserve">; Congressional Quarterly,</w:t>
      </w:r>
      <w:r>
        <w:t xml:space="preserve"> </w:t>
      </w:r>
      <w:hyperlink r:id="rId25">
        <w:r>
          <w:rPr>
            <w:rStyle w:val="Hyperlink"/>
          </w:rPr>
          <w:t xml:space="preserve">11/6/21</w:t>
        </w:r>
      </w:hyperlink>
      <w:r>
        <w:t xml:space="preserve">; Congressional Actions,</w:t>
      </w:r>
      <w:r>
        <w:t xml:space="preserve"> </w:t>
      </w:r>
      <w:hyperlink r:id="rId22">
        <w:r>
          <w:rPr>
            <w:rStyle w:val="Hyperlink"/>
          </w:rPr>
          <w:t xml:space="preserve">H.R. 5376</w:t>
        </w:r>
      </w:hyperlink>
      <w:r>
        <w:t xml:space="preserve">; Congressional Actions,</w:t>
      </w:r>
      <w:r>
        <w:t xml:space="preserve"> </w:t>
      </w:r>
      <w:hyperlink r:id="rId23">
        <w:r>
          <w:rPr>
            <w:rStyle w:val="Hyperlink"/>
          </w:rPr>
          <w:t xml:space="preserve">H.Res. 774</w:t>
        </w:r>
      </w:hyperlink>
      <w:r>
        <w:t xml:space="preserve">]</w:t>
      </w:r>
    </w:p>
    <w:bookmarkEnd w:id="26"/>
    <w:bookmarkStart w:id="30" w:name="funding-for-cleaner-vehicles"/>
    <w:p>
      <w:pPr>
        <w:pStyle w:val="Heading3"/>
      </w:pPr>
      <w:r>
        <w:t xml:space="preserve">Funding For Cleaner Vehicles</w:t>
      </w:r>
    </w:p>
    <w:p>
      <w:pPr>
        <w:pStyle w:val="FirstParagraph"/>
      </w:pPr>
      <w:r>
        <w:rPr>
          <w:bCs/>
          <w:b/>
        </w:rPr>
        <w:t xml:space="preserve">2022: Schweikert Voted Against Appropriating $100 Million For The General Services Administration To Purchase Zero-Emission And Electric Vehicles And Charging Infrastructure In FY 2023.</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provide $100 million for General Services Administration procurement of zero-emission and electric vehicles and charging infrastructure.</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7">
        <w:r>
          <w:rPr>
            <w:rStyle w:val="Hyperlink"/>
          </w:rPr>
          <w:t xml:space="preserve">7/20/22</w:t>
        </w:r>
      </w:hyperlink>
      <w:r>
        <w:t xml:space="preserve">; Congressional Quarterly,</w:t>
      </w:r>
      <w:r>
        <w:t xml:space="preserve"> </w:t>
      </w:r>
      <w:hyperlink r:id="rId28">
        <w:r>
          <w:rPr>
            <w:rStyle w:val="Hyperlink"/>
          </w:rPr>
          <w:t xml:space="preserve">7/20/22</w:t>
        </w:r>
      </w:hyperlink>
      <w:r>
        <w:t xml:space="preserve">; Congressional Actions,</w:t>
      </w:r>
      <w:r>
        <w:t xml:space="preserve"> </w:t>
      </w:r>
      <w:hyperlink r:id="rId29">
        <w:r>
          <w:rPr>
            <w:rStyle w:val="Hyperlink"/>
          </w:rPr>
          <w:t xml:space="preserve">H.R. 8294</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1/roll371.xml" TargetMode="External" /><Relationship Type="http://schemas.openxmlformats.org/officeDocument/2006/relationships/hyperlink" Id="rId20" Target="http://clerk.house.gov/evs/2021/roll372.xml" TargetMode="External" /><Relationship Type="http://schemas.openxmlformats.org/officeDocument/2006/relationships/hyperlink" Id="rId27" Target="http://clerk.house.gov/evs/2022/roll383.xml" TargetMode="External" /><Relationship Type="http://schemas.openxmlformats.org/officeDocument/2006/relationships/hyperlink" Id="rId25" Target="https://plus.cq.com/vote/2021/H/371?5" TargetMode="External" /><Relationship Type="http://schemas.openxmlformats.org/officeDocument/2006/relationships/hyperlink" Id="rId21" Target="https://plus.cq.com/vote/2021/H/372?3" TargetMode="External" /><Relationship Type="http://schemas.openxmlformats.org/officeDocument/2006/relationships/hyperlink" Id="rId28" Target="https://plus.cq.com/vote/2022/H/383?13"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29" Target="https://www.congress.gov/bill/117th-congress/house-bill/8294/actions" TargetMode="External" /><Relationship Type="http://schemas.openxmlformats.org/officeDocument/2006/relationships/hyperlink" Id="rId23" Target="https://www.congress.gov/bill/117th-congress/house-resolution/774/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1/roll371.xml" TargetMode="External" /><Relationship Type="http://schemas.openxmlformats.org/officeDocument/2006/relationships/hyperlink" Id="rId20" Target="http://clerk.house.gov/evs/2021/roll372.xml" TargetMode="External" /><Relationship Type="http://schemas.openxmlformats.org/officeDocument/2006/relationships/hyperlink" Id="rId27" Target="http://clerk.house.gov/evs/2022/roll383.xml" TargetMode="External" /><Relationship Type="http://schemas.openxmlformats.org/officeDocument/2006/relationships/hyperlink" Id="rId25" Target="https://plus.cq.com/vote/2021/H/371?5" TargetMode="External" /><Relationship Type="http://schemas.openxmlformats.org/officeDocument/2006/relationships/hyperlink" Id="rId21" Target="https://plus.cq.com/vote/2021/H/372?3" TargetMode="External" /><Relationship Type="http://schemas.openxmlformats.org/officeDocument/2006/relationships/hyperlink" Id="rId28" Target="https://plus.cq.com/vote/2022/H/383?13"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29" Target="https://www.congress.gov/bill/117th-congress/house-bill/8294/actions" TargetMode="External" /><Relationship Type="http://schemas.openxmlformats.org/officeDocument/2006/relationships/hyperlink" Id="rId23" Target="https://www.congress.gov/bill/117th-congress/house-resolution/77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