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united-states-institute-of-peace"/>
    <w:p>
      <w:pPr>
        <w:pStyle w:val="Heading1"/>
      </w:pPr>
      <w:r>
        <w:t xml:space="preserve">United States Institute Of Peace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United States Institute Of Peace Funding By $16.4 Million.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3 that would reduce by $16.4 million funding for the United States Institute of Peace.</w:t>
      </w:r>
      <w:r>
        <w:t xml:space="preserve">”</w:t>
      </w:r>
      <w:r>
        <w:t xml:space="preserve"> </w:t>
      </w:r>
      <w:r>
        <w:t xml:space="preserve">The vote was on the amendment. The underlying legislation was the FY 2025 State-Foreign Operations Appropriations. The House rejected the amendment by a vote of 164 to 244. [House Vote 299,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H.Amdt.1032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99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9?11" TargetMode="External" /><Relationship Type="http://schemas.openxmlformats.org/officeDocument/2006/relationships/hyperlink" Id="rId22" Target="https://www.congress.gov/amendment/118th-congress/house-amendment/103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99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9?11" TargetMode="External" /><Relationship Type="http://schemas.openxmlformats.org/officeDocument/2006/relationships/hyperlink" Id="rId22" Target="https://www.congress.gov/amendment/118th-congress/house-amendment/103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2026-01-27T02:09:32Z</dcterms:created>
  <dcterms:modified xsi:type="dcterms:W3CDTF">2026-01-27T02:09:32Z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