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mmunications-networks"/>
    <w:p>
      <w:pPr>
        <w:pStyle w:val="Heading1"/>
      </w:pPr>
      <w:r>
        <w:t xml:space="preserve">Communications Networks</w:t>
      </w:r>
    </w:p>
    <w:bookmarkStart w:id="23" w:name="interagency-working-group"/>
    <w:p>
      <w:pPr>
        <w:pStyle w:val="Heading3"/>
      </w:pPr>
      <w:r>
        <w:t xml:space="preserve">Interagency Working Group</w:t>
      </w:r>
    </w:p>
    <w:p>
      <w:pPr>
        <w:pStyle w:val="FirstParagraph"/>
      </w:pPr>
      <w:r>
        <w:rPr>
          <w:bCs/>
          <w:b/>
        </w:rPr>
        <w:t xml:space="preserve">2022: Schweikert Voted To Direct The President To Establish An Interagency Working Group To Coordinate Global Partners To Address Communications Networks, Security And Standards, Including 5G Systems And Infrastructure, And Monitor Engagement By The Chinese Government.</w:t>
      </w:r>
      <w:r>
        <w:t xml:space="preserve"> </w:t>
      </w:r>
      <w:r>
        <w:t xml:space="preserve">In July 2022, according to Congressional Quarterly, Schweikert voted for the Promoting United States International Leadership in 5G Act of 2021, which would</w:t>
      </w:r>
      <w:r>
        <w:t xml:space="preserve"> </w:t>
      </w:r>
      <w:r>
        <w:t xml:space="preserve">“</w:t>
      </w:r>
      <w:r>
        <w:t xml:space="preserve">direct the president to establish an interagency working group to coordinate with international partners regarding engagement at international organizations that address communications networks, security and standards, including 5G and future generations of mobile telecommunications systems and infrastructure. It would require the secretary of State to coordinate with the working group to develop and implement a strategy for diplomatic engagement with allies, including to share security risk information and coordinate to mitigate risks related to 5G and future generations of mobile telecommunications systems, and to monitor engagement by the Chinese government and related entities at international organizations. It would require the working group to brief Congress within 180 of enactment regarding both the strategy and Chinese engagement.</w:t>
      </w:r>
      <w:r>
        <w:t xml:space="preserve">”</w:t>
      </w:r>
      <w:r>
        <w:t xml:space="preserve"> </w:t>
      </w:r>
      <w:r>
        <w:t xml:space="preserve">The vote was on passage. The House passed the bill by a vote 405-20, thus the bill was sent to the Senate. The Senate did not take substantive action on the legislation. [House Vote 351,</w:t>
      </w:r>
      <w:r>
        <w:t xml:space="preserve"> </w:t>
      </w:r>
      <w:hyperlink r:id="rId20">
        <w:r>
          <w:rPr>
            <w:rStyle w:val="Hyperlink"/>
          </w:rPr>
          <w:t xml:space="preserve">7/14/22</w:t>
        </w:r>
      </w:hyperlink>
      <w:r>
        <w:t xml:space="preserve">; Congressional Quarterly,</w:t>
      </w:r>
      <w:r>
        <w:t xml:space="preserve"> </w:t>
      </w:r>
      <w:hyperlink r:id="rId21">
        <w:r>
          <w:rPr>
            <w:rStyle w:val="Hyperlink"/>
          </w:rPr>
          <w:t xml:space="preserve">7/14/22</w:t>
        </w:r>
      </w:hyperlink>
      <w:r>
        <w:t xml:space="preserve">; Congressional Actions,</w:t>
      </w:r>
      <w:r>
        <w:t xml:space="preserve"> </w:t>
      </w:r>
      <w:hyperlink r:id="rId22">
        <w:r>
          <w:rPr>
            <w:rStyle w:val="Hyperlink"/>
          </w:rPr>
          <w:t xml:space="preserve">H.R. 1934</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351.xml" TargetMode="External" /><Relationship Type="http://schemas.openxmlformats.org/officeDocument/2006/relationships/hyperlink" Id="rId21" Target="https://plus.cq.com/vote/2022/H/351?21" TargetMode="External" /><Relationship Type="http://schemas.openxmlformats.org/officeDocument/2006/relationships/hyperlink" Id="rId22" Target="https://www.congress.gov/bill/117th-congress/house-bill/193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351.xml" TargetMode="External" /><Relationship Type="http://schemas.openxmlformats.org/officeDocument/2006/relationships/hyperlink" Id="rId21" Target="https://plus.cq.com/vote/2022/H/351?21" TargetMode="External" /><Relationship Type="http://schemas.openxmlformats.org/officeDocument/2006/relationships/hyperlink" Id="rId22" Target="https://www.congress.gov/bill/117th-congress/house-bill/193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