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entral-and-eastern-europe"/>
    <w:p>
      <w:pPr>
        <w:pStyle w:val="Heading1"/>
      </w:pPr>
      <w:r>
        <w:t xml:space="preserve">Central And Eastern Europe</w:t>
      </w:r>
    </w:p>
    <w:bookmarkStart w:id="23" w:name="telecommunications-security"/>
    <w:p>
      <w:pPr>
        <w:pStyle w:val="Heading3"/>
      </w:pPr>
      <w:r>
        <w:t xml:space="preserve">Telecommunications Security</w:t>
      </w:r>
    </w:p>
    <w:p>
      <w:pPr>
        <w:pStyle w:val="FirstParagraph"/>
      </w:pPr>
      <w:r>
        <w:rPr>
          <w:bCs/>
          <w:b/>
        </w:rPr>
        <w:t xml:space="preserve">2022: Schweikert Voted To Support The European Union And The Central And Eastern European Governments In Improving The Security Of Their Telecommunication Networks, Including Projects That Would Advance U.S. National Security.</w:t>
      </w:r>
      <w:r>
        <w:t xml:space="preserve"> </w:t>
      </w:r>
      <w:r>
        <w:t xml:space="preserve">In April 2022, according to Congressional Quarterly, Schweikert voted for the Transatlantic Telecommunications Security Act, which would</w:t>
      </w:r>
      <w:r>
        <w:t xml:space="preserve"> </w:t>
      </w:r>
      <w:r>
        <w:t xml:space="preserve">“</w:t>
      </w:r>
      <w:r>
        <w:t xml:space="preserve">require the State Department to expedite its efforts to support the European Union and the Central and Eastern European governments in improving the security of their telecommunication networks, including by providing diplomatic and political support for telecommunications infrastructure projects that would advance U.S. national security, encouraging international financial institutions to invest in such projects, removing telecommunications equipment provided by Chinese and Russian companies, and facilitating international coordination on cross-border telecommunications.</w:t>
      </w:r>
      <w:r>
        <w:t xml:space="preserve">”</w:t>
      </w:r>
      <w:r>
        <w:t xml:space="preserve"> </w:t>
      </w:r>
      <w:r>
        <w:t xml:space="preserve">The vote was on passage. The House passed the bill by a vote of 366-60, thus the bill was sent to the Senate. [House Vote 133,</w:t>
      </w:r>
      <w:r>
        <w:t xml:space="preserve"> </w:t>
      </w:r>
      <w:hyperlink r:id="rId20">
        <w:r>
          <w:rPr>
            <w:rStyle w:val="Hyperlink"/>
          </w:rPr>
          <w:t xml:space="preserve">4/27/22</w:t>
        </w:r>
      </w:hyperlink>
      <w:r>
        <w:t xml:space="preserve">; Congressional Quarterly,</w:t>
      </w:r>
      <w:r>
        <w:t xml:space="preserve"> </w:t>
      </w:r>
      <w:hyperlink r:id="rId21">
        <w:r>
          <w:rPr>
            <w:rStyle w:val="Hyperlink"/>
          </w:rPr>
          <w:t xml:space="preserve">4/27/22</w:t>
        </w:r>
      </w:hyperlink>
      <w:r>
        <w:t xml:space="preserve">; Congressional Actions,</w:t>
      </w:r>
      <w:r>
        <w:t xml:space="preserve"> </w:t>
      </w:r>
      <w:hyperlink r:id="rId22">
        <w:r>
          <w:rPr>
            <w:rStyle w:val="Hyperlink"/>
          </w:rPr>
          <w:t xml:space="preserve">H.R. 3344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33.xml" TargetMode="External" /><Relationship Type="http://schemas.openxmlformats.org/officeDocument/2006/relationships/hyperlink" Id="rId21" Target="https://plus.cq.com/vote/2022/H/133?6" TargetMode="External" /><Relationship Type="http://schemas.openxmlformats.org/officeDocument/2006/relationships/hyperlink" Id="rId22" Target="https://www.congress.gov/bill/117th-congress/house-bill/334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33.xml" TargetMode="External" /><Relationship Type="http://schemas.openxmlformats.org/officeDocument/2006/relationships/hyperlink" Id="rId21" Target="https://plus.cq.com/vote/2022/H/133?6" TargetMode="External" /><Relationship Type="http://schemas.openxmlformats.org/officeDocument/2006/relationships/hyperlink" Id="rId22" Target="https://www.congress.gov/bill/117th-congress/house-bill/334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