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foreign-policy"/>
    <w:p>
      <w:pPr>
        <w:pStyle w:val="Heading1"/>
      </w:pPr>
      <w:r>
        <w:t xml:space="preserve">Foreign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Afghanistan</w:t>
      </w:r>
    </w:p>
    <w:p>
      <w:pPr>
        <w:numPr>
          <w:ilvl w:val="0"/>
          <w:numId w:val="1001"/>
        </w:numPr>
        <w:pStyle w:val="Compact"/>
      </w:pPr>
      <w:r>
        <w:t xml:space="preserve">Africa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Arms Sales</w:t>
      </w:r>
    </w:p>
    <w:p>
      <w:pPr>
        <w:numPr>
          <w:ilvl w:val="0"/>
          <w:numId w:val="1001"/>
        </w:numPr>
        <w:pStyle w:val="Compact"/>
      </w:pPr>
      <w:r>
        <w:t xml:space="preserve">Burma</w:t>
      </w:r>
    </w:p>
    <w:p>
      <w:pPr>
        <w:numPr>
          <w:ilvl w:val="0"/>
          <w:numId w:val="1001"/>
        </w:numPr>
        <w:pStyle w:val="Compact"/>
      </w:pPr>
      <w:r>
        <w:t xml:space="preserve">Cambodia</w:t>
      </w:r>
    </w:p>
    <w:p>
      <w:pPr>
        <w:numPr>
          <w:ilvl w:val="0"/>
          <w:numId w:val="1001"/>
        </w:numPr>
        <w:pStyle w:val="Compact"/>
      </w:pPr>
      <w:r>
        <w:t xml:space="preserve">Caribbean Countries</w:t>
      </w:r>
    </w:p>
    <w:p>
      <w:pPr>
        <w:numPr>
          <w:ilvl w:val="0"/>
          <w:numId w:val="1001"/>
        </w:numPr>
        <w:pStyle w:val="Compact"/>
      </w:pPr>
      <w:r>
        <w:t xml:space="preserve">Central And Eastern Europe</w:t>
      </w:r>
    </w:p>
    <w:p>
      <w:pPr>
        <w:numPr>
          <w:ilvl w:val="0"/>
          <w:numId w:val="1001"/>
        </w:numPr>
        <w:pStyle w:val="Compact"/>
      </w:pP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t xml:space="preserve">Committee On Foreign Investment In The US</w:t>
      </w:r>
    </w:p>
    <w:p>
      <w:pPr>
        <w:numPr>
          <w:ilvl w:val="0"/>
          <w:numId w:val="1001"/>
        </w:numPr>
        <w:pStyle w:val="Compact"/>
      </w:pPr>
      <w:r>
        <w:t xml:space="preserve">Communications Networks</w:t>
      </w:r>
    </w:p>
    <w:p>
      <w:pPr>
        <w:numPr>
          <w:ilvl w:val="0"/>
          <w:numId w:val="1001"/>
        </w:numPr>
        <w:pStyle w:val="Compact"/>
      </w:pPr>
      <w:r>
        <w:t xml:space="preserve">Cuba</w:t>
      </w:r>
    </w:p>
    <w:p>
      <w:pPr>
        <w:numPr>
          <w:ilvl w:val="0"/>
          <w:numId w:val="1001"/>
        </w:numPr>
        <w:pStyle w:val="Compact"/>
      </w:pPr>
      <w:r>
        <w:t xml:space="preserve">Democratic Republic Of The Congo</w:t>
      </w:r>
    </w:p>
    <w:p>
      <w:pPr>
        <w:numPr>
          <w:ilvl w:val="0"/>
          <w:numId w:val="1001"/>
        </w:numPr>
        <w:pStyle w:val="Compact"/>
      </w:pPr>
      <w:r>
        <w:t xml:space="preserve">Department Of State</w:t>
      </w:r>
    </w:p>
    <w:p>
      <w:pPr>
        <w:numPr>
          <w:ilvl w:val="0"/>
          <w:numId w:val="1001"/>
        </w:numPr>
        <w:pStyle w:val="Compact"/>
      </w:pPr>
      <w:r>
        <w:t xml:space="preserve">Exchange Programs</w:t>
      </w:r>
    </w:p>
    <w:p>
      <w:pPr>
        <w:numPr>
          <w:ilvl w:val="0"/>
          <w:numId w:val="1001"/>
        </w:numPr>
        <w:pStyle w:val="Compact"/>
      </w:pPr>
      <w:r>
        <w:t xml:space="preserve">Foreign Adversaries</w:t>
      </w:r>
    </w:p>
    <w:p>
      <w:pPr>
        <w:numPr>
          <w:ilvl w:val="0"/>
          <w:numId w:val="1001"/>
        </w:numPr>
        <w:pStyle w:val="Compact"/>
      </w:pPr>
      <w:r>
        <w:t xml:space="preserve">Foreign Aid</w:t>
      </w:r>
    </w:p>
    <w:p>
      <w:pPr>
        <w:numPr>
          <w:ilvl w:val="0"/>
          <w:numId w:val="1001"/>
        </w:numPr>
        <w:pStyle w:val="Compact"/>
      </w:pPr>
      <w:r>
        <w:t xml:space="preserve">Georgia</w:t>
      </w:r>
    </w:p>
    <w:p>
      <w:pPr>
        <w:numPr>
          <w:ilvl w:val="0"/>
          <w:numId w:val="1001"/>
        </w:numPr>
        <w:pStyle w:val="Compact"/>
      </w:pPr>
      <w:r>
        <w:t xml:space="preserve">Global Food Security</w:t>
      </w:r>
    </w:p>
    <w:p>
      <w:pPr>
        <w:numPr>
          <w:ilvl w:val="0"/>
          <w:numId w:val="1001"/>
        </w:numPr>
        <w:pStyle w:val="Compact"/>
      </w:pPr>
      <w:r>
        <w:t xml:space="preserve">Global Health</w:t>
      </w:r>
    </w:p>
    <w:p>
      <w:pPr>
        <w:numPr>
          <w:ilvl w:val="0"/>
          <w:numId w:val="1001"/>
        </w:numPr>
        <w:pStyle w:val="Compact"/>
      </w:pPr>
      <w:r>
        <w:t xml:space="preserve">Global Semiconductor Supply Chains</w:t>
      </w:r>
    </w:p>
    <w:p>
      <w:pPr>
        <w:numPr>
          <w:ilvl w:val="0"/>
          <w:numId w:val="1001"/>
        </w:numPr>
        <w:pStyle w:val="Compact"/>
      </w:pPr>
      <w:r>
        <w:t xml:space="preserve">Human Rights Concerns</w:t>
      </w:r>
    </w:p>
    <w:p>
      <w:pPr>
        <w:numPr>
          <w:ilvl w:val="0"/>
          <w:numId w:val="1001"/>
        </w:numPr>
        <w:pStyle w:val="Compact"/>
      </w:pPr>
      <w:r>
        <w:t xml:space="preserve">Indo-Pacific Region</w:t>
      </w:r>
    </w:p>
    <w:p>
      <w:pPr>
        <w:numPr>
          <w:ilvl w:val="0"/>
          <w:numId w:val="1001"/>
        </w:numPr>
        <w:pStyle w:val="Compact"/>
      </w:pPr>
      <w:r>
        <w:t xml:space="preserve">International Monetary Fund</w:t>
      </w:r>
    </w:p>
    <w:p>
      <w:pPr>
        <w:numPr>
          <w:ilvl w:val="0"/>
          <w:numId w:val="1001"/>
        </w:numPr>
        <w:pStyle w:val="Compact"/>
      </w:pPr>
      <w:r>
        <w:t xml:space="preserve">International Telecommunication Union</w:t>
      </w:r>
    </w:p>
    <w:p>
      <w:pPr>
        <w:numPr>
          <w:ilvl w:val="0"/>
          <w:numId w:val="1001"/>
        </w:numPr>
        <w:pStyle w:val="Compact"/>
      </w:pPr>
      <w:r>
        <w:t xml:space="preserve">Iran</w:t>
      </w:r>
    </w:p>
    <w:p>
      <w:pPr>
        <w:numPr>
          <w:ilvl w:val="0"/>
          <w:numId w:val="1001"/>
        </w:numPr>
        <w:pStyle w:val="Compact"/>
      </w:pPr>
      <w:r>
        <w:t xml:space="preserve">Iraq</w:t>
      </w:r>
    </w:p>
    <w:p>
      <w:pPr>
        <w:numPr>
          <w:ilvl w:val="0"/>
          <w:numId w:val="1001"/>
        </w:numPr>
        <w:pStyle w:val="Compact"/>
      </w:pPr>
      <w:r>
        <w:t xml:space="preserve">ISIS</w:t>
      </w:r>
    </w:p>
    <w:p>
      <w:pPr>
        <w:numPr>
          <w:ilvl w:val="0"/>
          <w:numId w:val="1001"/>
        </w:numPr>
        <w:pStyle w:val="Compact"/>
      </w:pPr>
      <w:r>
        <w:t xml:space="preserve">Islamophobia</w:t>
      </w:r>
    </w:p>
    <w:p>
      <w:pPr>
        <w:numPr>
          <w:ilvl w:val="0"/>
          <w:numId w:val="1001"/>
        </w:numPr>
        <w:pStyle w:val="Compact"/>
      </w:pPr>
      <w:r>
        <w:t xml:space="preserve">Israel/Palestine</w:t>
      </w:r>
    </w:p>
    <w:p>
      <w:pPr>
        <w:numPr>
          <w:ilvl w:val="0"/>
          <w:numId w:val="1001"/>
        </w:numPr>
        <w:pStyle w:val="Compact"/>
      </w:pPr>
      <w:r>
        <w:t xml:space="preserve">Israel-Hamas War</w:t>
      </w:r>
    </w:p>
    <w:p>
      <w:pPr>
        <w:numPr>
          <w:ilvl w:val="0"/>
          <w:numId w:val="1001"/>
        </w:numPr>
        <w:pStyle w:val="Compact"/>
      </w:pPr>
      <w:r>
        <w:t xml:space="preserve">Lebanon</w:t>
      </w:r>
    </w:p>
    <w:p>
      <w:pPr>
        <w:numPr>
          <w:ilvl w:val="0"/>
          <w:numId w:val="1001"/>
        </w:numPr>
        <w:pStyle w:val="Compact"/>
      </w:pPr>
      <w:r>
        <w:t xml:space="preserve">LGBTQ Rights</w:t>
      </w:r>
    </w:p>
    <w:p>
      <w:pPr>
        <w:numPr>
          <w:ilvl w:val="0"/>
          <w:numId w:val="1001"/>
        </w:numPr>
        <w:pStyle w:val="Compact"/>
      </w:pPr>
      <w:r>
        <w:t xml:space="preserve">Libya</w:t>
      </w:r>
    </w:p>
    <w:p>
      <w:pPr>
        <w:numPr>
          <w:ilvl w:val="0"/>
          <w:numId w:val="1001"/>
        </w:numPr>
        <w:pStyle w:val="Compact"/>
      </w:pPr>
      <w:r>
        <w:t xml:space="preserve">Moldova</w:t>
      </w:r>
    </w:p>
    <w:p>
      <w:pPr>
        <w:numPr>
          <w:ilvl w:val="0"/>
          <w:numId w:val="1001"/>
        </w:numPr>
        <w:pStyle w:val="Compact"/>
      </w:pPr>
      <w:r>
        <w:t xml:space="preserve">Mozambique</w:t>
      </w:r>
    </w:p>
    <w:p>
      <w:pPr>
        <w:numPr>
          <w:ilvl w:val="0"/>
          <w:numId w:val="1001"/>
        </w:numPr>
        <w:pStyle w:val="Compact"/>
      </w:pPr>
      <w:r>
        <w:t xml:space="preserve">Myanmar</w:t>
      </w:r>
    </w:p>
    <w:p>
      <w:pPr>
        <w:numPr>
          <w:ilvl w:val="0"/>
          <w:numId w:val="1001"/>
        </w:numPr>
        <w:pStyle w:val="Compact"/>
      </w:pPr>
      <w:r>
        <w:t xml:space="preserve">NATO</w:t>
      </w:r>
    </w:p>
    <w:p>
      <w:pPr>
        <w:numPr>
          <w:ilvl w:val="0"/>
          <w:numId w:val="1001"/>
        </w:numPr>
        <w:pStyle w:val="Compact"/>
      </w:pPr>
      <w:r>
        <w:t xml:space="preserve">Nicaragua</w:t>
      </w:r>
    </w:p>
    <w:p>
      <w:pPr>
        <w:numPr>
          <w:ilvl w:val="0"/>
          <w:numId w:val="1001"/>
        </w:numPr>
        <w:pStyle w:val="Compact"/>
      </w:pPr>
      <w:r>
        <w:t xml:space="preserve">North And West Africa</w:t>
      </w:r>
    </w:p>
    <w:p>
      <w:pPr>
        <w:numPr>
          <w:ilvl w:val="0"/>
          <w:numId w:val="1001"/>
        </w:numPr>
        <w:pStyle w:val="Compact"/>
      </w:pPr>
      <w:r>
        <w:t xml:space="preserve">North Korea</w:t>
      </w:r>
    </w:p>
    <w:p>
      <w:pPr>
        <w:numPr>
          <w:ilvl w:val="0"/>
          <w:numId w:val="1001"/>
        </w:numPr>
        <w:pStyle w:val="Compact"/>
      </w:pPr>
      <w:r>
        <w:t xml:space="preserve">Pakistan</w:t>
      </w:r>
    </w:p>
    <w:p>
      <w:pPr>
        <w:numPr>
          <w:ilvl w:val="0"/>
          <w:numId w:val="1001"/>
        </w:numPr>
        <w:pStyle w:val="Compact"/>
      </w:pPr>
      <w:r>
        <w:t xml:space="preserve">Peace Corps</w:t>
      </w:r>
    </w:p>
    <w:p>
      <w:pPr>
        <w:numPr>
          <w:ilvl w:val="0"/>
          <w:numId w:val="1001"/>
        </w:numPr>
        <w:pStyle w:val="Compact"/>
      </w:pPr>
      <w:r>
        <w:t xml:space="preserve">Quadrilateral Dialogue</w:t>
      </w:r>
    </w:p>
    <w:p>
      <w:pPr>
        <w:numPr>
          <w:ilvl w:val="0"/>
          <w:numId w:val="1001"/>
        </w:numPr>
        <w:pStyle w:val="Compact"/>
      </w:pPr>
      <w:r>
        <w:t xml:space="preserve">Religious Intolerance</w:t>
      </w:r>
    </w:p>
    <w:p>
      <w:pPr>
        <w:numPr>
          <w:ilvl w:val="0"/>
          <w:numId w:val="1001"/>
        </w:numPr>
        <w:pStyle w:val="Compact"/>
      </w:pPr>
      <w:r>
        <w:t xml:space="preserve">Russia</w:t>
      </w:r>
    </w:p>
    <w:p>
      <w:pPr>
        <w:numPr>
          <w:ilvl w:val="0"/>
          <w:numId w:val="1001"/>
        </w:numPr>
        <w:pStyle w:val="Compact"/>
      </w:pPr>
      <w:r>
        <w:t xml:space="preserve">Sanctions</w:t>
      </w:r>
    </w:p>
    <w:p>
      <w:pPr>
        <w:numPr>
          <w:ilvl w:val="0"/>
          <w:numId w:val="1001"/>
        </w:numPr>
        <w:pStyle w:val="Compact"/>
      </w:pPr>
      <w:r>
        <w:t xml:space="preserve">Saudi Arabia</w:t>
      </w:r>
    </w:p>
    <w:p>
      <w:pPr>
        <w:numPr>
          <w:ilvl w:val="0"/>
          <w:numId w:val="1001"/>
        </w:numPr>
        <w:pStyle w:val="Compact"/>
      </w:pPr>
      <w:r>
        <w:t xml:space="preserve">Security Assistance</w:t>
      </w:r>
    </w:p>
    <w:p>
      <w:pPr>
        <w:numPr>
          <w:ilvl w:val="0"/>
          <w:numId w:val="1001"/>
        </w:numPr>
        <w:pStyle w:val="Compact"/>
      </w:pPr>
      <w:r>
        <w:t xml:space="preserve">Somalia</w:t>
      </w:r>
    </w:p>
    <w:p>
      <w:pPr>
        <w:numPr>
          <w:ilvl w:val="0"/>
          <w:numId w:val="1001"/>
        </w:numPr>
        <w:pStyle w:val="Compact"/>
      </w:pPr>
      <w:r>
        <w:t xml:space="preserve">South Africa</w:t>
      </w:r>
    </w:p>
    <w:p>
      <w:pPr>
        <w:numPr>
          <w:ilvl w:val="0"/>
          <w:numId w:val="1001"/>
        </w:numPr>
        <w:pStyle w:val="Compact"/>
      </w:pPr>
      <w:r>
        <w:t xml:space="preserve">Sudan</w:t>
      </w:r>
    </w:p>
    <w:p>
      <w:pPr>
        <w:numPr>
          <w:ilvl w:val="0"/>
          <w:numId w:val="1001"/>
        </w:numPr>
        <w:pStyle w:val="Compact"/>
      </w:pPr>
      <w:r>
        <w:t xml:space="preserve">Syria</w:t>
      </w:r>
    </w:p>
    <w:p>
      <w:pPr>
        <w:numPr>
          <w:ilvl w:val="0"/>
          <w:numId w:val="1001"/>
        </w:numPr>
        <w:pStyle w:val="Compact"/>
      </w:pPr>
      <w:r>
        <w:t xml:space="preserve">Taliban</w:t>
      </w:r>
    </w:p>
    <w:p>
      <w:pPr>
        <w:numPr>
          <w:ilvl w:val="0"/>
          <w:numId w:val="1001"/>
        </w:numPr>
        <w:pStyle w:val="Compact"/>
      </w:pPr>
      <w:r>
        <w:t xml:space="preserve">Travel Ban</w:t>
      </w:r>
    </w:p>
    <w:p>
      <w:pPr>
        <w:numPr>
          <w:ilvl w:val="0"/>
          <w:numId w:val="1001"/>
        </w:numPr>
        <w:pStyle w:val="Compact"/>
      </w:pPr>
      <w:r>
        <w:t xml:space="preserve">Turkey</w:t>
      </w:r>
    </w:p>
    <w:p>
      <w:pPr>
        <w:numPr>
          <w:ilvl w:val="0"/>
          <w:numId w:val="1001"/>
        </w:numPr>
        <w:pStyle w:val="Compact"/>
      </w:pPr>
      <w:r>
        <w:t xml:space="preserve">U.S. Agency For Global Media</w:t>
      </w:r>
    </w:p>
    <w:p>
      <w:pPr>
        <w:numPr>
          <w:ilvl w:val="0"/>
          <w:numId w:val="1001"/>
        </w:numPr>
        <w:pStyle w:val="Compact"/>
      </w:pPr>
      <w:r>
        <w:t xml:space="preserve">U.S. Agency For International Development</w:t>
      </w:r>
    </w:p>
    <w:p>
      <w:pPr>
        <w:numPr>
          <w:ilvl w:val="0"/>
          <w:numId w:val="1001"/>
        </w:numPr>
        <w:pStyle w:val="Compact"/>
      </w:pPr>
      <w:r>
        <w:t xml:space="preserve">U.S. Commission On International Religious Freedom</w:t>
      </w:r>
    </w:p>
    <w:p>
      <w:pPr>
        <w:numPr>
          <w:ilvl w:val="0"/>
          <w:numId w:val="1001"/>
        </w:numPr>
        <w:pStyle w:val="Compact"/>
      </w:pPr>
      <w:r>
        <w:t xml:space="preserve">Ukraine</w:t>
      </w:r>
    </w:p>
    <w:p>
      <w:pPr>
        <w:numPr>
          <w:ilvl w:val="0"/>
          <w:numId w:val="1001"/>
        </w:numPr>
        <w:pStyle w:val="Compact"/>
      </w:pPr>
      <w:r>
        <w:t xml:space="preserve">United Nations</w:t>
      </w:r>
    </w:p>
    <w:p>
      <w:pPr>
        <w:numPr>
          <w:ilvl w:val="0"/>
          <w:numId w:val="1001"/>
        </w:numPr>
        <w:pStyle w:val="Compact"/>
      </w:pPr>
      <w:r>
        <w:t xml:space="preserve">United States Institute Of Peace</w:t>
      </w:r>
    </w:p>
    <w:p>
      <w:pPr>
        <w:numPr>
          <w:ilvl w:val="0"/>
          <w:numId w:val="1001"/>
        </w:numPr>
        <w:pStyle w:val="Compact"/>
      </w:pPr>
      <w:r>
        <w:t xml:space="preserve">USAID</w:t>
      </w:r>
    </w:p>
    <w:p>
      <w:pPr>
        <w:numPr>
          <w:ilvl w:val="0"/>
          <w:numId w:val="1001"/>
        </w:numPr>
        <w:pStyle w:val="Compact"/>
      </w:pPr>
      <w:r>
        <w:t xml:space="preserve">Uyghurs</w:t>
      </w:r>
    </w:p>
    <w:p>
      <w:pPr>
        <w:numPr>
          <w:ilvl w:val="0"/>
          <w:numId w:val="1001"/>
        </w:numPr>
        <w:pStyle w:val="Compact"/>
      </w:pPr>
      <w:r>
        <w:t xml:space="preserve">War Powers Resolution</w:t>
      </w:r>
    </w:p>
    <w:p>
      <w:pPr>
        <w:numPr>
          <w:ilvl w:val="0"/>
          <w:numId w:val="1001"/>
        </w:numPr>
        <w:pStyle w:val="Compact"/>
      </w:pPr>
      <w:r>
        <w:t xml:space="preserve">World Trade Organization</w:t>
      </w:r>
    </w:p>
    <w:p>
      <w:pPr>
        <w:numPr>
          <w:ilvl w:val="0"/>
          <w:numId w:val="1001"/>
        </w:numPr>
        <w:pStyle w:val="Compact"/>
      </w:pPr>
      <w:r>
        <w:t xml:space="preserve">Yemen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