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ederal-energy-use"/>
    <w:p>
      <w:pPr>
        <w:pStyle w:val="Heading1"/>
      </w:pPr>
      <w:r>
        <w:t xml:space="preserve">Federal Energy Use</w:t>
      </w:r>
    </w:p>
    <w:bookmarkStart w:id="23" w:name="federal-buildings"/>
    <w:p>
      <w:pPr>
        <w:pStyle w:val="Heading3"/>
      </w:pPr>
      <w:r>
        <w:t xml:space="preserve">Federal Buildings</w:t>
      </w:r>
    </w:p>
    <w:p>
      <w:pPr>
        <w:pStyle w:val="FirstParagraph"/>
      </w:pPr>
      <w:r>
        <w:rPr>
          <w:bCs/>
          <w:b/>
        </w:rPr>
        <w:t xml:space="preserve">2014: Schweikert Voted For Requiring An Energy Department Report On The Impact Of Thermal Insulation On Both Energy And Water Use For Potable Hot Water And Chilled Water In Federal Buildings As Part Of The American Energy Solutions For Lower Costs And More American Jobs Act.</w:t>
      </w:r>
      <w:r>
        <w:t xml:space="preserve"> </w:t>
      </w:r>
      <w:r>
        <w:t xml:space="preserve">In October 2014, Schweikert voted for a bill that would have, according to Congressional Quarterly,</w:t>
      </w:r>
      <w:r>
        <w:t xml:space="preserve"> </w:t>
      </w:r>
      <w:r>
        <w:t xml:space="preserve">“</w:t>
      </w:r>
      <w:r>
        <w:t xml:space="preserve">require[d] the Energy Department to report on the impact of thermal insulation on both energy and water use for potable hot water and chilled water in federal buildings.</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Actions,</w:t>
      </w:r>
      <w:r>
        <w:t xml:space="preserve"> </w:t>
      </w:r>
      <w:hyperlink r:id="rId22">
        <w:r>
          <w:rPr>
            <w:rStyle w:val="Hyperlink"/>
          </w:rPr>
          <w:t xml:space="preserve">H.R. 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515.xml" TargetMode="External" /><Relationship Type="http://schemas.openxmlformats.org/officeDocument/2006/relationships/hyperlink" Id="rId21" Target="http://www.cq.com/doc/har-4547314/36?9&amp;search=xqwJGnpM" TargetMode="External" /><Relationship Type="http://schemas.openxmlformats.org/officeDocument/2006/relationships/hyperlink" Id="rId22" Target="https://www.congress.gov/bill/113th-congress/house-bill/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515.xml" TargetMode="External" /><Relationship Type="http://schemas.openxmlformats.org/officeDocument/2006/relationships/hyperlink" Id="rId21" Target="http://www.cq.com/doc/har-4547314/36?9&amp;search=xqwJGnpM" TargetMode="External" /><Relationship Type="http://schemas.openxmlformats.org/officeDocument/2006/relationships/hyperlink" Id="rId22" Target="https://www.congress.gov/bill/113th-congress/house-bill/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