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ethanol"/>
    <w:p>
      <w:pPr>
        <w:pStyle w:val="Heading1"/>
      </w:pPr>
      <w:r>
        <w:t xml:space="preserve">Ethanol</w:t>
      </w:r>
    </w:p>
    <w:bookmarkStart w:id="31" w:name="renewable-fuel-standard"/>
    <w:p>
      <w:pPr>
        <w:pStyle w:val="Heading3"/>
      </w:pPr>
      <w:r>
        <w:t xml:space="preserve">Renewable Fuel Standard</w:t>
      </w:r>
    </w:p>
    <w:p>
      <w:pPr>
        <w:pStyle w:val="FirstParagraph"/>
      </w:pPr>
      <w:r>
        <w:rPr>
          <w:bCs/>
          <w:b/>
        </w:rPr>
        <w:t xml:space="preserve">2017: Schweikert Voted For The FY 2018 Republican Study Committee Budget Resolution Which In Part Called For Ending The Ethanol Fuel Blending Mandate From The RFS.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Ending The Ethanol Fuel Blending Mandate From The RFS</w:t>
      </w:r>
      <w:r>
        <w:t xml:space="preserve"> </w:t>
      </w:r>
      <w:r>
        <w:t xml:space="preserve">According to the Republican Study Committee FY 2018 Budget,</w:t>
      </w:r>
      <w:r>
        <w:t xml:space="preserve"> </w:t>
      </w:r>
      <w:r>
        <w:t xml:space="preserve">“</w:t>
      </w:r>
      <w:r>
        <w:t xml:space="preserve">The Renewable Fuel Standard (RFS) is a program that requires fuel sold in the U.S. to contain a minimum volume of renewable fuels. However, the standard has caused a dramatic increase in the price of corn, food, and gasoline.93 A reform of the standard would end ethanol fuel-blending mandates. This proposal mirrors Representative Bob Goodlatte’s H.R. 1314, the Renewable Fuel Standard Elimination Act.</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For Eliminating The Renewable Fuel Standard As Part Of The FY 2016 Republican Study Committee Budget Resolution.</w:t>
      </w:r>
      <w:r>
        <w:t xml:space="preserve"> </w:t>
      </w:r>
      <w:r>
        <w:t xml:space="preserve">In March 2015, Schweikert voted for repealing the RFS. According to the Republican Study Committee,</w:t>
      </w:r>
      <w:r>
        <w:t xml:space="preserve"> </w:t>
      </w:r>
      <w:r>
        <w:t xml:space="preserve">“</w:t>
      </w:r>
      <w:r>
        <w:t xml:space="preserve">The Renewable Fuel Standard (RFS) is a program that requires fuel sold in the U.S. to contain a minimum volume of renewable fuels. However, the standard has caused the dramatic increase in the price of corn, food and gasoline. A reform of the standard would end ethanol fuel-blending mandates. This proposal mirrors Representative Goodlatte’s Renewable Fuel Standard Elimination Act (H.R. 703).</w:t>
      </w:r>
      <w:r>
        <w:t xml:space="preserve">”</w:t>
      </w:r>
      <w:r>
        <w:t xml:space="preserve"> </w:t>
      </w:r>
      <w:r>
        <w:t xml:space="preserve">Rep. Bob Goodlatte’s legislation would</w:t>
      </w:r>
      <w:r>
        <w:t xml:space="preserve"> </w:t>
      </w:r>
      <w:r>
        <w:t xml:space="preserve">“</w:t>
      </w:r>
      <w:r>
        <w:t xml:space="preserve">eliminates the RFS and makes ethanol compete in the free market.</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Press Release Rep. Goodlatte,</w:t>
      </w:r>
      <w:r>
        <w:t xml:space="preserve"> </w:t>
      </w:r>
      <w:hyperlink r:id="rId27">
        <w:r>
          <w:rPr>
            <w:rStyle w:val="Hyperlink"/>
          </w:rPr>
          <w:t xml:space="preserve">2/4/15</w:t>
        </w:r>
      </w:hyperlink>
      <w:r>
        <w:t xml:space="preserve">; Congressional Quarterly,</w:t>
      </w:r>
      <w:r>
        <w:t xml:space="preserve"> </w:t>
      </w:r>
      <w:hyperlink r:id="rId28">
        <w:r>
          <w:rPr>
            <w:rStyle w:val="Hyperlink"/>
          </w:rPr>
          <w:t xml:space="preserve">3/25/15</w:t>
        </w:r>
      </w:hyperlink>
      <w:r>
        <w:t xml:space="preserve">; Congress.gov,</w:t>
      </w:r>
      <w:r>
        <w:t xml:space="preserve"> </w:t>
      </w:r>
      <w:hyperlink r:id="rId29">
        <w:r>
          <w:rPr>
            <w:rStyle w:val="Hyperlink"/>
          </w:rPr>
          <w:t xml:space="preserve">H. Amdt. 83</w:t>
        </w:r>
      </w:hyperlink>
      <w:r>
        <w:t xml:space="preserve">; Congressional Actions,</w:t>
      </w:r>
      <w:r>
        <w:t xml:space="preserve"> </w:t>
      </w:r>
      <w:hyperlink r:id="rId30">
        <w:r>
          <w:rPr>
            <w:rStyle w:val="Hyperlink"/>
          </w:rPr>
          <w:t xml:space="preserve">H. Con. Res. 27</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7" Target="http://goodlatte.house.gov/press_releases/657"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28" Target="http://www.cq.com/vote/2015/h/138?23"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29"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30" Target="https://www.congress.gov/bill/114th-congress/house-concurrent-resolution/27/all-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7" Target="http://goodlatte.house.gov/press_releases/657"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28" Target="http://www.cq.com/vote/2015/h/138?23"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29"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30" Target="https://www.congress.gov/bill/114th-congress/house-concurrent-resolution/27/all-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