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conservation"/>
    <w:p>
      <w:pPr>
        <w:pStyle w:val="Heading1"/>
      </w:pPr>
      <w:r>
        <w:t xml:space="preserve">Conservation</w:t>
      </w:r>
    </w:p>
    <w:bookmarkStart w:id="23" w:name="great-lakes-region"/>
    <w:p>
      <w:pPr>
        <w:pStyle w:val="Heading3"/>
      </w:pPr>
      <w:r>
        <w:t xml:space="preserve">Great Lakes Region</w:t>
      </w:r>
    </w:p>
    <w:p>
      <w:pPr>
        <w:pStyle w:val="FirstParagraph"/>
      </w:pPr>
      <w:r>
        <w:rPr>
          <w:bCs/>
          <w:b/>
        </w:rPr>
        <w:t xml:space="preserve">2020: Schweikert Voted For The GLRI Act Of 2019, Which Provided $375 Million In FY 2022 And Increased Funding Annually Through FY 2026 For Watershed Conservation Efforts In The Great Lakes Region.</w:t>
      </w:r>
      <w:r>
        <w:t xml:space="preserve"> </w:t>
      </w:r>
      <w:r>
        <w:t xml:space="preserve">In February 2020, Schweikert voted for the Great Lakes Restoration Initiative Act of 2019, which would, according to Congressional Quarterly,</w:t>
      </w:r>
      <w:r>
        <w:t xml:space="preserve"> </w:t>
      </w:r>
      <w:r>
        <w:t xml:space="preserve">“</w:t>
      </w:r>
      <w:r>
        <w:t xml:space="preserve">reauthorize through fiscal 2026 an EPA program that coordinates watershed conservation and management activities in the Great Lakes region. It would authorize $375 million for the program for fiscal 2022, with amounts increasing by $25 million annually to $475 million for fiscal 2026.</w:t>
      </w:r>
      <w:r>
        <w:t xml:space="preserve">”</w:t>
      </w:r>
      <w:r>
        <w:t xml:space="preserve"> </w:t>
      </w:r>
      <w:r>
        <w:t xml:space="preserve">The vote was on a motion to suspend the rules and pass the bill. The House agreed to the motion and passed the bill by a vote of 373-45. The bill ultimately became law. [House Vote 36,</w:t>
      </w:r>
      <w:r>
        <w:t xml:space="preserve"> </w:t>
      </w:r>
      <w:hyperlink r:id="rId20">
        <w:r>
          <w:rPr>
            <w:rStyle w:val="Hyperlink"/>
          </w:rPr>
          <w:t xml:space="preserve">2/5/20</w:t>
        </w:r>
      </w:hyperlink>
      <w:r>
        <w:t xml:space="preserve">; Congressional Quarterly,</w:t>
      </w:r>
      <w:r>
        <w:t xml:space="preserve"> </w:t>
      </w:r>
      <w:hyperlink r:id="rId21">
        <w:r>
          <w:rPr>
            <w:rStyle w:val="Hyperlink"/>
          </w:rPr>
          <w:t xml:space="preserve">2/5/20</w:t>
        </w:r>
      </w:hyperlink>
      <w:r>
        <w:t xml:space="preserve">; Congressional Actions,</w:t>
      </w:r>
      <w:r>
        <w:t xml:space="preserve"> </w:t>
      </w:r>
      <w:hyperlink r:id="rId22">
        <w:r>
          <w:rPr>
            <w:rStyle w:val="Hyperlink"/>
          </w:rPr>
          <w:t xml:space="preserve">H.R.4031</w:t>
        </w:r>
      </w:hyperlink>
      <w:r>
        <w:t xml:space="preserve">]</w:t>
      </w:r>
    </w:p>
    <w:bookmarkEnd w:id="23"/>
    <w:bookmarkStart w:id="27" w:name="long-island-sound"/>
    <w:p>
      <w:pPr>
        <w:pStyle w:val="Heading3"/>
      </w:pPr>
      <w:r>
        <w:t xml:space="preserve">Long Island Sound</w:t>
      </w:r>
    </w:p>
    <w:p>
      <w:pPr>
        <w:pStyle w:val="FirstParagraph"/>
      </w:pPr>
      <w:r>
        <w:rPr>
          <w:bCs/>
          <w:b/>
        </w:rPr>
        <w:t xml:space="preserve">2024: Schweikert Voted Against Reauthorizing The Long Island Sound Restoration And Stewardship Act.</w:t>
      </w:r>
      <w:r>
        <w:t xml:space="preserve"> </w:t>
      </w:r>
      <w:r>
        <w:t xml:space="preserve">In July 2024, Schweikert voted against , according to Congressional Quarterly,</w:t>
      </w:r>
      <w:r>
        <w:t xml:space="preserve"> </w:t>
      </w:r>
      <w:r>
        <w:t xml:space="preserve">“</w:t>
      </w:r>
      <w:r>
        <w:t xml:space="preserve">the bill that would reauthorize through fiscal 2028 the Long Island Sound Restoration and Stewardship Act. It would authorize $65 million annually for the EPA to carry out programs to restore and protect the environmental health of the Long Island Sound. Eligible activities under the Long Island Sound Conservation and Management Plan include grants for research, restoration projects, public engagement and education programs, while stewardship grants provided to state and local governments, nonprofit organizations, and private landowners would be used to procure and enhance ecologically important sites within the Long Island Sound watershed.</w:t>
      </w:r>
      <w:r>
        <w:t xml:space="preserve">”</w:t>
      </w:r>
      <w:r>
        <w:t xml:space="preserve"> </w:t>
      </w:r>
      <w:r>
        <w:t xml:space="preserve">The vote was on passage. The House passed the bill by a vote of 333 to 51. [House Vote 337,</w:t>
      </w:r>
      <w:r>
        <w:t xml:space="preserve"> </w:t>
      </w:r>
      <w:hyperlink r:id="rId24">
        <w:r>
          <w:rPr>
            <w:rStyle w:val="Hyperlink"/>
          </w:rPr>
          <w:t xml:space="preserve">7/8/24</w:t>
        </w:r>
      </w:hyperlink>
      <w:r>
        <w:t xml:space="preserve">; Congressional Quarterly,</w:t>
      </w:r>
      <w:r>
        <w:t xml:space="preserve"> </w:t>
      </w:r>
      <w:hyperlink r:id="rId25">
        <w:r>
          <w:rPr>
            <w:rStyle w:val="Hyperlink"/>
          </w:rPr>
          <w:t xml:space="preserve">7/8/24</w:t>
        </w:r>
      </w:hyperlink>
      <w:r>
        <w:t xml:space="preserve">; Congressional Actions,</w:t>
      </w:r>
      <w:r>
        <w:t xml:space="preserve"> </w:t>
      </w:r>
      <w:hyperlink r:id="rId26">
        <w:r>
          <w:rPr>
            <w:rStyle w:val="Hyperlink"/>
          </w:rPr>
          <w:t xml:space="preserve">H.R. 5441</w:t>
        </w:r>
      </w:hyperlink>
      <w:r>
        <w:t xml:space="preserve">]</w:t>
      </w:r>
    </w:p>
    <w:bookmarkEnd w:id="27"/>
    <w:bookmarkStart w:id="31" w:name="national-estuary-program"/>
    <w:p>
      <w:pPr>
        <w:pStyle w:val="Heading3"/>
      </w:pPr>
      <w:r>
        <w:t xml:space="preserve">National Estuary Program</w:t>
      </w:r>
    </w:p>
    <w:p>
      <w:pPr>
        <w:pStyle w:val="FirstParagraph"/>
      </w:pPr>
      <w:r>
        <w:rPr>
          <w:bCs/>
          <w:b/>
        </w:rPr>
        <w:t xml:space="preserve">2020: Schweikert Voted For The Protect And Restore America's Estuaries Act, Which Reauthorized The National Estuary Program And Provided $50 Million Annually From FY 2022 Through FY 2026 To Conserve And Manage Estuaries.</w:t>
      </w:r>
      <w:r>
        <w:t xml:space="preserve"> </w:t>
      </w:r>
      <w:r>
        <w:t xml:space="preserve">In February 2020, Schweikert voted for the Protect and Restore America's Estuaries Act, which would, according to Congressional Quarterly,</w:t>
      </w:r>
      <w:r>
        <w:t xml:space="preserve"> </w:t>
      </w:r>
      <w:r>
        <w:t xml:space="preserve">“</w:t>
      </w:r>
      <w:r>
        <w:t xml:space="preserve">modify and reauthorize the EPA National Estuary Program, which makes grants for the development and implementation of plans to conserve and manage estuaries. It would authorize $50 million in fiscal 2022 through 2026 for program grants. Among other provisions, it would expand the list of regions that would be given priority under the program and add requirements that funded plans must meet, including to address effects of recurring extreme weather events and to increase public education regarding the estuaries' water quality conditions and ecological health.</w:t>
      </w:r>
      <w:r>
        <w:t xml:space="preserve">”</w:t>
      </w:r>
      <w:r>
        <w:t xml:space="preserve"> </w:t>
      </w:r>
      <w:r>
        <w:t xml:space="preserve">The vote was on a motion to suspend the rules and pass the bill. The House agreed to the motion and passed the bill by a vote of 355-62. [House Vote 35,</w:t>
      </w:r>
      <w:r>
        <w:t xml:space="preserve"> </w:t>
      </w:r>
      <w:hyperlink r:id="rId28">
        <w:r>
          <w:rPr>
            <w:rStyle w:val="Hyperlink"/>
          </w:rPr>
          <w:t xml:space="preserve">2/5/20</w:t>
        </w:r>
      </w:hyperlink>
      <w:r>
        <w:t xml:space="preserve">; Congressional Quarterly,</w:t>
      </w:r>
      <w:r>
        <w:t xml:space="preserve"> </w:t>
      </w:r>
      <w:hyperlink r:id="rId29">
        <w:r>
          <w:rPr>
            <w:rStyle w:val="Hyperlink"/>
          </w:rPr>
          <w:t xml:space="preserve">2/5/20</w:t>
        </w:r>
      </w:hyperlink>
      <w:r>
        <w:t xml:space="preserve">; Congressional Actions,</w:t>
      </w:r>
      <w:r>
        <w:t xml:space="preserve"> </w:t>
      </w:r>
      <w:hyperlink r:id="rId30">
        <w:r>
          <w:rPr>
            <w:rStyle w:val="Hyperlink"/>
          </w:rPr>
          <w:t xml:space="preserve">H.R.4044</w:t>
        </w:r>
      </w:hyperlink>
      <w:r>
        <w:t xml:space="preserve">]</w:t>
      </w:r>
    </w:p>
    <w:bookmarkEnd w:id="31"/>
    <w:bookmarkStart w:id="35" w:name="nutria-eradication"/>
    <w:p>
      <w:pPr>
        <w:pStyle w:val="Heading3"/>
      </w:pPr>
      <w:r>
        <w:t xml:space="preserve">Nutria Eradication</w:t>
      </w:r>
    </w:p>
    <w:p>
      <w:pPr>
        <w:pStyle w:val="FirstParagraph"/>
      </w:pPr>
      <w:r>
        <w:rPr>
          <w:bCs/>
          <w:b/>
        </w:rPr>
        <w:t xml:space="preserve">2025: Schweikert Voted To Reauthorize A Nutria Eradication Program Aimed At Conserving Marshland.</w:t>
      </w:r>
      <w:r>
        <w:t xml:space="preserve"> </w:t>
      </w:r>
      <w:r>
        <w:t xml:space="preserve">In February 2024, Schweikert voted for , according to Congressional Quarterly,</w:t>
      </w:r>
      <w:r>
        <w:t xml:space="preserve"> </w:t>
      </w:r>
      <w:r>
        <w:t xml:space="preserve">“</w:t>
      </w:r>
      <w:r>
        <w:t xml:space="preserve">the bill that would reauthorize, through fiscal 2030, the 2003 law that established a program to eradicate or control nutria and restore marshland damaged by the semiaquatic rodent.</w:t>
      </w:r>
      <w:r>
        <w:t xml:space="preserve">”</w:t>
      </w:r>
      <w:r>
        <w:t xml:space="preserve"> </w:t>
      </w:r>
      <w:r>
        <w:t xml:space="preserve">The House passed the bill by a vote of 361 to 56. [House Vote 29,</w:t>
      </w:r>
      <w:r>
        <w:t xml:space="preserve"> </w:t>
      </w:r>
      <w:hyperlink r:id="rId32">
        <w:r>
          <w:rPr>
            <w:rStyle w:val="Hyperlink"/>
          </w:rPr>
          <w:t xml:space="preserve">2/4/25</w:t>
        </w:r>
      </w:hyperlink>
      <w:r>
        <w:t xml:space="preserve">; Congressional Quarterly,</w:t>
      </w:r>
      <w:r>
        <w:t xml:space="preserve"> </w:t>
      </w:r>
      <w:hyperlink r:id="rId33">
        <w:r>
          <w:rPr>
            <w:rStyle w:val="Hyperlink"/>
          </w:rPr>
          <w:t xml:space="preserve">2/4/25</w:t>
        </w:r>
      </w:hyperlink>
      <w:r>
        <w:t xml:space="preserve">; Congressional Actions,</w:t>
      </w:r>
      <w:r>
        <w:t xml:space="preserve"> </w:t>
      </w:r>
      <w:hyperlink r:id="rId34">
        <w:r>
          <w:rPr>
            <w:rStyle w:val="Hyperlink"/>
          </w:rPr>
          <w:t xml:space="preserve">H.R. 776</w:t>
        </w:r>
      </w:hyperlink>
      <w:r>
        <w:t xml:space="preserve">]</w:t>
      </w:r>
    </w:p>
    <w:bookmarkEnd w:id="35"/>
    <w:bookmarkStart w:id="39" w:name="program-reauthorizations"/>
    <w:p>
      <w:pPr>
        <w:pStyle w:val="Heading3"/>
      </w:pPr>
      <w:r>
        <w:t xml:space="preserve">Program Reauthorizations</w:t>
      </w:r>
    </w:p>
    <w:p>
      <w:pPr>
        <w:pStyle w:val="FirstParagraph"/>
      </w:pPr>
      <w:r>
        <w:rPr>
          <w:bCs/>
          <w:b/>
        </w:rPr>
        <w:t xml:space="preserve">2024: Schweikert Voted To Reauthorize Various Conservation, Wildlife, And agriculture Programs Through 2030.</w:t>
      </w:r>
      <w:r>
        <w:t xml:space="preserve"> </w:t>
      </w:r>
      <w:r>
        <w:t xml:space="preserve">In December 2024, Schweikert voted for , according to Congressional Quarterly,</w:t>
      </w:r>
      <w:r>
        <w:t xml:space="preserve"> </w:t>
      </w:r>
      <w:r>
        <w:t xml:space="preserve">“</w:t>
      </w:r>
      <w:r>
        <w:t xml:space="preserve">the bill, as amended, that would reauthorize for five years, through fiscal 2030, a number of programs related to conservation, wildlife and agriculture. It also would reauthorize, for the same period, the National Fish Habitat Conservation program and increase the authority of the National Fish Habitat Board. The reauthorized programs would include the Chesapeake Bay Program, North American wetland conservation activities, the chronic wasting disease task force, and a grant program related to losses of livestock due to depredation by federally protected species.</w:t>
      </w:r>
      <w:r>
        <w:t xml:space="preserve">”</w:t>
      </w:r>
      <w:r>
        <w:t xml:space="preserve"> </w:t>
      </w:r>
      <w:r>
        <w:t xml:space="preserve">The House passed the bill by a vote of 366 to 21. [House Vote 479,</w:t>
      </w:r>
      <w:r>
        <w:t xml:space="preserve"> </w:t>
      </w:r>
      <w:hyperlink r:id="rId36">
        <w:r>
          <w:rPr>
            <w:rStyle w:val="Hyperlink"/>
          </w:rPr>
          <w:t xml:space="preserve">12/3/24</w:t>
        </w:r>
      </w:hyperlink>
      <w:r>
        <w:t xml:space="preserve">; Congressional Quarterly,</w:t>
      </w:r>
      <w:r>
        <w:t xml:space="preserve"> </w:t>
      </w:r>
      <w:hyperlink r:id="rId37">
        <w:r>
          <w:rPr>
            <w:rStyle w:val="Hyperlink"/>
          </w:rPr>
          <w:t xml:space="preserve">12/3/24</w:t>
        </w:r>
      </w:hyperlink>
      <w:r>
        <w:t xml:space="preserve">; Congressional Actions,</w:t>
      </w:r>
      <w:r>
        <w:t xml:space="preserve"> </w:t>
      </w:r>
      <w:hyperlink r:id="rId38">
        <w:r>
          <w:rPr>
            <w:rStyle w:val="Hyperlink"/>
          </w:rPr>
          <w:t xml:space="preserve">S. 3791</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20/roll035.xml" TargetMode="External" /><Relationship Type="http://schemas.openxmlformats.org/officeDocument/2006/relationships/hyperlink" Id="rId20" Target="http://clerk.house.gov/evs/2020/roll036.xml" TargetMode="External" /><Relationship Type="http://schemas.openxmlformats.org/officeDocument/2006/relationships/hyperlink" Id="rId24" Target="http://clerk.house.gov/evs/2024/roll337.xml" TargetMode="External" /><Relationship Type="http://schemas.openxmlformats.org/officeDocument/2006/relationships/hyperlink" Id="rId36" Target="http://clerk.house.gov/evs/2024/roll479.xml" TargetMode="External" /><Relationship Type="http://schemas.openxmlformats.org/officeDocument/2006/relationships/hyperlink" Id="rId32" Target="http://clerk.house.gov/evs/2025/roll029.xml" TargetMode="External" /><Relationship Type="http://schemas.openxmlformats.org/officeDocument/2006/relationships/hyperlink" Id="rId26" Target="http://www.congress.gov/bill/118th-congress/house-bill/5441/all-actions" TargetMode="External" /><Relationship Type="http://schemas.openxmlformats.org/officeDocument/2006/relationships/hyperlink" Id="rId29" Target="https://plus.cq.com/vote/2020/H/35?3" TargetMode="External" /><Relationship Type="http://schemas.openxmlformats.org/officeDocument/2006/relationships/hyperlink" Id="rId21" Target="https://plus.cq.com/vote/2020/H/36?4" TargetMode="External" /><Relationship Type="http://schemas.openxmlformats.org/officeDocument/2006/relationships/hyperlink" Id="rId25" Target="https://plus.cq.com/vote/2024/H/337?2" TargetMode="External" /><Relationship Type="http://schemas.openxmlformats.org/officeDocument/2006/relationships/hyperlink" Id="rId37" Target="https://plus.cq.com/vote/2024/H/479?4" TargetMode="External" /><Relationship Type="http://schemas.openxmlformats.org/officeDocument/2006/relationships/hyperlink" Id="rId33" Target="https://plus.cq.com/vote/2025/H/29?4" TargetMode="External" /><Relationship Type="http://schemas.openxmlformats.org/officeDocument/2006/relationships/hyperlink" Id="rId22" Target="https://www.congress.gov/bill/116th-congress/house-bill/4031/all-actions?q=%7b%22search%22%3A%5B%22hr+4031%22%5D%7d&amp;s=2&amp;r=1" TargetMode="External" /><Relationship Type="http://schemas.openxmlformats.org/officeDocument/2006/relationships/hyperlink" Id="rId30" Target="https://www.congress.gov/bill/116th-congress/house-bill/4044/all-actions?q=%7b%22search%22%3A%5B%22hr+4044%22%5D%7d&amp;s=1&amp;r=1" TargetMode="External" /><Relationship Type="http://schemas.openxmlformats.org/officeDocument/2006/relationships/hyperlink" Id="rId38" Target="https://www.congress.gov/bill/118th-congress/senate-bill/3791/all-actions" TargetMode="External" /><Relationship Type="http://schemas.openxmlformats.org/officeDocument/2006/relationships/hyperlink" Id="rId34" Target="https://www.congress.gov/bill/119th-congress/house-bill/776/all-action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20/roll035.xml" TargetMode="External" /><Relationship Type="http://schemas.openxmlformats.org/officeDocument/2006/relationships/hyperlink" Id="rId20" Target="http://clerk.house.gov/evs/2020/roll036.xml" TargetMode="External" /><Relationship Type="http://schemas.openxmlformats.org/officeDocument/2006/relationships/hyperlink" Id="rId24" Target="http://clerk.house.gov/evs/2024/roll337.xml" TargetMode="External" /><Relationship Type="http://schemas.openxmlformats.org/officeDocument/2006/relationships/hyperlink" Id="rId36" Target="http://clerk.house.gov/evs/2024/roll479.xml" TargetMode="External" /><Relationship Type="http://schemas.openxmlformats.org/officeDocument/2006/relationships/hyperlink" Id="rId32" Target="http://clerk.house.gov/evs/2025/roll029.xml" TargetMode="External" /><Relationship Type="http://schemas.openxmlformats.org/officeDocument/2006/relationships/hyperlink" Id="rId26" Target="http://www.congress.gov/bill/118th-congress/house-bill/5441/all-actions" TargetMode="External" /><Relationship Type="http://schemas.openxmlformats.org/officeDocument/2006/relationships/hyperlink" Id="rId29" Target="https://plus.cq.com/vote/2020/H/35?3" TargetMode="External" /><Relationship Type="http://schemas.openxmlformats.org/officeDocument/2006/relationships/hyperlink" Id="rId21" Target="https://plus.cq.com/vote/2020/H/36?4" TargetMode="External" /><Relationship Type="http://schemas.openxmlformats.org/officeDocument/2006/relationships/hyperlink" Id="rId25" Target="https://plus.cq.com/vote/2024/H/337?2" TargetMode="External" /><Relationship Type="http://schemas.openxmlformats.org/officeDocument/2006/relationships/hyperlink" Id="rId37" Target="https://plus.cq.com/vote/2024/H/479?4" TargetMode="External" /><Relationship Type="http://schemas.openxmlformats.org/officeDocument/2006/relationships/hyperlink" Id="rId33" Target="https://plus.cq.com/vote/2025/H/29?4" TargetMode="External" /><Relationship Type="http://schemas.openxmlformats.org/officeDocument/2006/relationships/hyperlink" Id="rId22" Target="https://www.congress.gov/bill/116th-congress/house-bill/4031/all-actions?q=%7b%22search%22%3A%5B%22hr+4031%22%5D%7d&amp;s=2&amp;r=1" TargetMode="External" /><Relationship Type="http://schemas.openxmlformats.org/officeDocument/2006/relationships/hyperlink" Id="rId30" Target="https://www.congress.gov/bill/116th-congress/house-bill/4044/all-actions?q=%7b%22search%22%3A%5B%22hr+4044%22%5D%7d&amp;s=1&amp;r=1" TargetMode="External" /><Relationship Type="http://schemas.openxmlformats.org/officeDocument/2006/relationships/hyperlink" Id="rId38" Target="https://www.congress.gov/bill/118th-congress/senate-bill/3791/all-actions" TargetMode="External" /><Relationship Type="http://schemas.openxmlformats.org/officeDocument/2006/relationships/hyperlink" Id="rId34" Target="https://www.congress.gov/bill/119th-congress/house-bill/776/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