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pace-corps"/>
    <w:p>
      <w:pPr>
        <w:pStyle w:val="Heading1"/>
      </w:pPr>
      <w:r>
        <w:t xml:space="preserve">Space Corps</w:t>
      </w:r>
    </w:p>
    <w:p>
      <w:pPr>
        <w:pStyle w:val="FirstParagraph"/>
      </w:pPr>
      <w:r>
        <w:rPr>
          <w:bCs/>
          <w:b/>
        </w:rPr>
        <w:t xml:space="preserve">2019: Schweikert Effectively Voted For The FY 2020 National Defense Authorization Act (NDAA), Which Established The United States Space Corps.</w:t>
      </w:r>
      <w:r>
        <w:t xml:space="preserve"> </w:t>
      </w:r>
      <w:r>
        <w:t xml:space="preserve">In December 2019, Schweikert effectively voted for the FY 2020 NDAA. According to Congressional Quarterly,</w:t>
      </w:r>
      <w:r>
        <w:t xml:space="preserve"> </w:t>
      </w:r>
      <w:r>
        <w:t xml:space="preserve">“</w:t>
      </w:r>
      <w:r>
        <w:t xml:space="preserve">The agreement establishes a United States Space Corps within the Air Force Department, not as an independent department.</w:t>
      </w:r>
      <w:r>
        <w:t xml:space="preserve">”</w:t>
      </w:r>
      <w:r>
        <w:t xml:space="preserve"> </w:t>
      </w:r>
      <w:r>
        <w:t xml:space="preserve">The vote was on adoption of the conference report to accompany the bill. The House adopted the conference report by a vote of 377-48. The bill was later passed by the Senate and signed 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NDAA Established The Space Corps As An Independent Department Within The Air Force Department.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President Trump has pushed for creation of a separate Space Force as a free standing command, i.e. an independent department like the Army, Navy or Air Force. The agreement establishes a United States Space Corps within the Air Force Department, not as an independent department. Like the Marine Corps under the U.S. Navy, the Space Corps would be led by a four-star Commandant who would be a member of the Joint Chiefs of Staff. There would be no civilian head like those for the Army, Navy and Air Force.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