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efense-combat-fitness-standards"/>
    <w:p>
      <w:pPr>
        <w:pStyle w:val="Heading1"/>
      </w:pPr>
      <w:r>
        <w:t xml:space="preserve">Defense Combat Fitness Standards</w:t>
      </w:r>
    </w:p>
    <w:bookmarkStart w:id="24" w:name="sex-neutral-standards"/>
    <w:p>
      <w:pPr>
        <w:pStyle w:val="Heading3"/>
      </w:pPr>
      <w:r>
        <w:t xml:space="preserve">Sex-Neutral Standards</w:t>
      </w:r>
    </w:p>
    <w:p>
      <w:pPr>
        <w:pStyle w:val="FirstParagraph"/>
      </w:pPr>
      <w:r>
        <w:rPr>
          <w:bCs/>
          <w:b/>
        </w:rPr>
        <w:t xml:space="preserve">2024: Schweikert Voted To Establish Sex-Neutral Combat Fitness Standards.</w:t>
      </w:r>
      <w:r>
        <w:t xml:space="preserve"> </w:t>
      </w:r>
      <w:r>
        <w:t xml:space="preserve">In June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50 that would strike a provision regarding physical fitness standards for the Army Combat Fitness Test for combat military occupational specialties and replace it with sex-neutral physical fitness standards. It also would expand the physical fitness standards to apply to two additional military occupational specialties.</w:t>
      </w:r>
      <w:r>
        <w:t xml:space="preserve">”</w:t>
      </w:r>
      <w:r>
        <w:t xml:space="preserve"> </w:t>
      </w:r>
      <w:r>
        <w:t xml:space="preserve">The vote was on the amendment. The underlying legislation was the FY 2025 National Defense Authorization Act. The House rejected the amendment by a vote of 205 to 216. [House Vote 274,</w:t>
      </w:r>
      <w:r>
        <w:t xml:space="preserve"> </w:t>
      </w:r>
      <w:hyperlink r:id="rId20">
        <w:r>
          <w:rPr>
            <w:rStyle w:val="Hyperlink"/>
          </w:rPr>
          <w:t xml:space="preserve">6/13/24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6/13/24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H.Amdt.984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8070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74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74?11" TargetMode="External" /><Relationship Type="http://schemas.openxmlformats.org/officeDocument/2006/relationships/hyperlink" Id="rId22" Target="https://www.congress.gov/amendment/118th-congress/house-amendment/984/actions?s=a&amp;r=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74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74?11" TargetMode="External" /><Relationship Type="http://schemas.openxmlformats.org/officeDocument/2006/relationships/hyperlink" Id="rId22" Target="https://www.congress.gov/amendment/118th-congress/house-amendment/984/actions?s=a&amp;r=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2026-01-27T02:09:40Z</dcterms:created>
  <dcterms:modified xsi:type="dcterms:W3CDTF">2026-01-27T02:09:40Z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