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entencing-reform"/>
    <w:p>
      <w:pPr>
        <w:pStyle w:val="Heading1"/>
      </w:pPr>
      <w:r>
        <w:t xml:space="preserve">Sentencing Reform</w:t>
      </w:r>
    </w:p>
    <w:bookmarkStart w:id="24" w:name="pretrial-programs"/>
    <w:p>
      <w:pPr>
        <w:pStyle w:val="Heading3"/>
      </w:pPr>
      <w:r>
        <w:t xml:space="preserve">Pretrial Programs</w:t>
      </w:r>
    </w:p>
    <w:p>
      <w:pPr>
        <w:pStyle w:val="FirstParagraph"/>
      </w:pPr>
      <w:r>
        <w:rPr>
          <w:bCs/>
          <w:b/>
        </w:rPr>
        <w:t xml:space="preserve">2018: Schweikert Voted For Legislation Requiring State And Local Governments Submit Reports On Their Pretrial Programs, Including Prior Convictions For The Defendants That Received Services.</w:t>
      </w:r>
      <w:r>
        <w:t xml:space="preserve"> </w:t>
      </w:r>
      <w:r>
        <w:t xml:space="preserve">In May 2018, Schweikert voted for a bill that, according to Congressional Quarterly,</w:t>
      </w:r>
      <w:r>
        <w:t xml:space="preserve"> </w:t>
      </w:r>
      <w:r>
        <w:t xml:space="preserve">“</w:t>
      </w:r>
      <w:r>
        <w:t xml:space="preserve">require[d] state and local governments that receive Justice Department grants for pretrial services to submit annually a report to the attorney general that would include the names of defendants who received services, their prior convictions where applicable, and the amount of money that had been allocated for pretrial services. The bill also state[d] that if a state or local government were to fail to submit such a report, it could lose grant funding for the following year.</w:t>
      </w:r>
      <w:r>
        <w:t xml:space="preserve">”</w:t>
      </w:r>
      <w:r>
        <w:t xml:space="preserve"> </w:t>
      </w:r>
      <w:r>
        <w:t xml:space="preserve">The vote was on passage. The House passed the bill by a vote of 221 to 197. The Senate took no substantive action on the legislation. [House Vote 175,</w:t>
      </w:r>
      <w:r>
        <w:t xml:space="preserve"> </w:t>
      </w:r>
      <w:hyperlink r:id="rId20">
        <w:r>
          <w:rPr>
            <w:rStyle w:val="Hyperlink"/>
          </w:rPr>
          <w:t xml:space="preserve">5/9/18</w:t>
        </w:r>
      </w:hyperlink>
      <w:r>
        <w:t xml:space="preserve">; Congressional Quarterly,</w:t>
      </w:r>
      <w:r>
        <w:t xml:space="preserve"> </w:t>
      </w:r>
      <w:hyperlink r:id="rId21">
        <w:r>
          <w:rPr>
            <w:rStyle w:val="Hyperlink"/>
          </w:rPr>
          <w:t xml:space="preserve">5/9/18</w:t>
        </w:r>
      </w:hyperlink>
      <w:r>
        <w:t xml:space="preserve">; Congressional Actions,</w:t>
      </w:r>
      <w:r>
        <w:t xml:space="preserve"> </w:t>
      </w:r>
      <w:hyperlink r:id="rId22">
        <w:r>
          <w:rPr>
            <w:rStyle w:val="Hyperlink"/>
          </w:rPr>
          <w:t xml:space="preserve">H.R. 2152</w:t>
        </w:r>
      </w:hyperlink>
      <w:r>
        <w:t xml:space="preserve">]</w:t>
      </w:r>
    </w:p>
    <w:p>
      <w:pPr>
        <w:numPr>
          <w:ilvl w:val="0"/>
          <w:numId w:val="1001"/>
        </w:numPr>
        <w:pStyle w:val="Compact"/>
      </w:pPr>
      <w:r>
        <w:rPr>
          <w:bCs/>
          <w:b/>
        </w:rPr>
        <w:t xml:space="preserve">Democrats Worried That The Legislation Would Increase The Use Of Bail.</w:t>
      </w:r>
      <w:r>
        <w:t xml:space="preserve"> </w:t>
      </w:r>
      <w:r>
        <w:t xml:space="preserve">According to Congressional Quarterly,</w:t>
      </w:r>
      <w:r>
        <w:t xml:space="preserve"> </w:t>
      </w:r>
      <w:r>
        <w:t xml:space="preserve">“</w:t>
      </w:r>
      <w:r>
        <w:t xml:space="preserve">Opponents of the bill, primarily Democrats, say it would not further transparency because the information required would be incomplete, and that it instead could be used to displace pretrial services programs in favor of requiring bail, which would disproportionately impact the poor and most vulnerable in society. They say it would also undermine the privacy rights of those who participate in pretrial service programs.</w:t>
      </w:r>
      <w:r>
        <w:t xml:space="preserve">”</w:t>
      </w:r>
      <w:r>
        <w:t xml:space="preserve"> </w:t>
      </w:r>
      <w:r>
        <w:t xml:space="preserve">[Congressional Quarterly,</w:t>
      </w:r>
      <w:r>
        <w:t xml:space="preserve"> </w:t>
      </w:r>
      <w:hyperlink r:id="rId23">
        <w:r>
          <w:rPr>
            <w:rStyle w:val="Hyperlink"/>
          </w:rPr>
          <w:t xml:space="preserve">5/4/18</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175.xml" TargetMode="External" /><Relationship Type="http://schemas.openxmlformats.org/officeDocument/2006/relationships/hyperlink" Id="rId21" Target="http://cq.com/vote/2018/H/175?1" TargetMode="External" /><Relationship Type="http://schemas.openxmlformats.org/officeDocument/2006/relationships/hyperlink" Id="rId23" Target="http://www.cq.com/doc/har-5311779/20?6&amp;search=HRKnJgL8" TargetMode="External" /><Relationship Type="http://schemas.openxmlformats.org/officeDocument/2006/relationships/hyperlink" Id="rId22" Target="https://www.congress.gov/bill/115th-congress/house-bill/215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175.xml" TargetMode="External" /><Relationship Type="http://schemas.openxmlformats.org/officeDocument/2006/relationships/hyperlink" Id="rId21" Target="http://cq.com/vote/2018/H/175?1" TargetMode="External" /><Relationship Type="http://schemas.openxmlformats.org/officeDocument/2006/relationships/hyperlink" Id="rId23" Target="http://www.cq.com/doc/har-5311779/20?6&amp;search=HRKnJgL8" TargetMode="External" /><Relationship Type="http://schemas.openxmlformats.org/officeDocument/2006/relationships/hyperlink" Id="rId22" Target="https://www.congress.gov/bill/115th-congress/house-bill/215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