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4" w:name="prison-sentences"/>
    <w:p>
      <w:pPr>
        <w:pStyle w:val="Heading1"/>
      </w:pPr>
      <w:r>
        <w:t xml:space="preserve">Prison Sentences</w:t>
      </w:r>
    </w:p>
    <w:bookmarkStart w:id="23" w:name="crack-cocaine-sentence-reduction"/>
    <w:p>
      <w:pPr>
        <w:pStyle w:val="Heading3"/>
      </w:pPr>
      <w:r>
        <w:t xml:space="preserve">Crack Cocaine Sentence Reduction</w:t>
      </w:r>
    </w:p>
    <w:p>
      <w:pPr>
        <w:pStyle w:val="FirstParagraph"/>
      </w:pPr>
      <w:r>
        <w:rPr>
          <w:bCs/>
          <w:b/>
        </w:rPr>
        <w:t xml:space="preserve">2022: Schweikert Voted To Provide Low-Level Convicts Of Crack Cocaine To Be Eligible For Retroactive Reduction Of Their Prison Sentences Under The 2010 Sentencing Act.</w:t>
      </w:r>
      <w:r>
        <w:t xml:space="preserve"> </w:t>
      </w:r>
      <w:r>
        <w:t xml:space="preserve">In November 2022, according to Congressional Quarterly, Schweikert voted for the Terry Technical Correction Act, which would</w:t>
      </w:r>
      <w:r>
        <w:t xml:space="preserve"> </w:t>
      </w:r>
      <w:r>
        <w:t xml:space="preserve">“</w:t>
      </w:r>
      <w:r>
        <w:t xml:space="preserve">specify that individuals convicted of lower-level offenses involving crack cocaine would be eligible for retroactive reduction of their prison sentences under the 2010 Fair Sentencing Act.</w:t>
      </w:r>
      <w:r>
        <w:t xml:space="preserve">”</w:t>
      </w:r>
      <w:r>
        <w:t xml:space="preserve"> </w:t>
      </w:r>
      <w:r>
        <w:t xml:space="preserve">The vote was on passage. The House passed the bill by a vote of 307-101. The Senate did not take substantive action on the bill. [House Vote 488,</w:t>
      </w:r>
      <w:r>
        <w:t xml:space="preserve"> </w:t>
      </w:r>
      <w:hyperlink r:id="rId20">
        <w:r>
          <w:rPr>
            <w:rStyle w:val="Hyperlink"/>
          </w:rPr>
          <w:t xml:space="preserve">11/29/22</w:t>
        </w:r>
      </w:hyperlink>
      <w:r>
        <w:t xml:space="preserve">; Congressional Quarterly,</w:t>
      </w:r>
      <w:r>
        <w:t xml:space="preserve"> </w:t>
      </w:r>
      <w:hyperlink r:id="rId21">
        <w:r>
          <w:rPr>
            <w:rStyle w:val="Hyperlink"/>
          </w:rPr>
          <w:t xml:space="preserve">11/29/22</w:t>
        </w:r>
      </w:hyperlink>
      <w:r>
        <w:t xml:space="preserve">; Congressional Actions,</w:t>
      </w:r>
      <w:r>
        <w:t xml:space="preserve"> </w:t>
      </w:r>
      <w:hyperlink r:id="rId22">
        <w:r>
          <w:rPr>
            <w:rStyle w:val="Hyperlink"/>
          </w:rPr>
          <w:t xml:space="preserve">H.R. 5455</w:t>
        </w:r>
      </w:hyperlink>
      <w:r>
        <w:t xml:space="preserve">]</w:t>
      </w:r>
    </w:p>
    <w:bookmarkEnd w:id="23"/>
    <w:bookmarkEnd w:id="2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2/roll488.xml" TargetMode="External" /><Relationship Type="http://schemas.openxmlformats.org/officeDocument/2006/relationships/hyperlink" Id="rId21" Target="https://plus.cq.com/vote/2022/H/488?21" TargetMode="External" /><Relationship Type="http://schemas.openxmlformats.org/officeDocument/2006/relationships/hyperlink" Id="rId22" Target="https://www.congress.gov/bill/117th-congress/house-bill/5455/all-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2/roll488.xml" TargetMode="External" /><Relationship Type="http://schemas.openxmlformats.org/officeDocument/2006/relationships/hyperlink" Id="rId21" Target="https://plus.cq.com/vote/2022/H/488?21" TargetMode="External" /><Relationship Type="http://schemas.openxmlformats.org/officeDocument/2006/relationships/hyperlink" Id="rId22" Target="https://www.congress.gov/bill/117th-congress/house-bill/5455/all-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2026-01-27T02:09:29Z</dcterms:created>
  <dcterms:modified xsi:type="dcterms:W3CDTF">2026-01-27T02:09:29Z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