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supplemental-appropriations"/>
    <w:p>
      <w:pPr>
        <w:pStyle w:val="Heading1"/>
      </w:pPr>
      <w:r>
        <w:t xml:space="preserve">Supplemental Appropriations</w:t>
      </w:r>
    </w:p>
    <w:p>
      <w:pPr>
        <w:pStyle w:val="FirstParagraph"/>
      </w:pPr>
      <w:r>
        <w:rPr>
          <w:bCs/>
          <w:b/>
        </w:rPr>
        <w:t xml:space="preserve">2022: Schweikert Effectively Voted Against The COVID Supplemental Appropriations Act, 2022.</w:t>
      </w:r>
      <w:r>
        <w:t xml:space="preserve"> </w:t>
      </w:r>
      <w:r>
        <w:t xml:space="preserve">In March 2022, according to Congressional Quarterly, Schweikert voted against the</w:t>
      </w:r>
      <w:r>
        <w:t xml:space="preserve"> </w:t>
      </w:r>
      <w:r>
        <w:t xml:space="preserve">“</w:t>
      </w:r>
      <w:r>
        <w:t xml:space="preserve">adoption of the rule (H Res 973) that would provide for House floor consideration of […] the $15.6 billion coronavirus relief bill (HR 7007). The rule would provide for up to one hour of general debate on each measure.</w:t>
      </w:r>
      <w:r>
        <w:t xml:space="preserve">”</w:t>
      </w:r>
      <w:r>
        <w:t xml:space="preserve"> </w:t>
      </w:r>
      <w:r>
        <w:t xml:space="preserve">The vote was on the adoption of the rule. The House adopted the rule by a vote of 218-204. [House Vote 64,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7007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H.Res. 973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Schweikert Effectively Voted Against The COVID Supplemental Appropriations Act, 2022.</w:t>
      </w:r>
      <w:r>
        <w:t xml:space="preserve"> </w:t>
      </w:r>
      <w:r>
        <w:t xml:space="preserve">In March 2022, according to Congressional Quarterly, Schweikert voted against the</w:t>
      </w:r>
      <w:r>
        <w:t xml:space="preserve"> </w:t>
      </w:r>
      <w:r>
        <w:t xml:space="preserve">“</w:t>
      </w:r>
      <w:r>
        <w:t xml:space="preserve">motion to order the previous question (thus ending debate and possibility of amendment) on the rule (H Res 973) that would provide for House floor consideration of […] the $15.6 billion coronavirus relief bill (HR 7007). The rule would provide for up to one hour of general debate on each measure.</w:t>
      </w:r>
      <w:r>
        <w:t xml:space="preserve">”</w:t>
      </w:r>
      <w:r>
        <w:t xml:space="preserve"> </w:t>
      </w:r>
      <w:r>
        <w:t xml:space="preserve">The vote was on a motion to order the previous question. The House agreed to the motion by a vote of 219-199. [House Vote 63,</w:t>
      </w:r>
      <w:r>
        <w:t xml:space="preserve"> </w:t>
      </w:r>
      <w:hyperlink r:id="rId24">
        <w:r>
          <w:rPr>
            <w:rStyle w:val="Hyperlink"/>
          </w:rPr>
          <w:t xml:space="preserve">3/9/22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3/9/22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7007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H.Res. 973</w:t>
        </w:r>
      </w:hyperlink>
      <w:r>
        <w:t xml:space="preserve">]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063.xml" TargetMode="External" /><Relationship Type="http://schemas.openxmlformats.org/officeDocument/2006/relationships/hyperlink" Id="rId20" Target="http://clerk.house.gov/evs/2022/roll064.xml" TargetMode="External" /><Relationship Type="http://schemas.openxmlformats.org/officeDocument/2006/relationships/hyperlink" Id="rId25" Target="https://plus.cq.com/vote/2022/H/63?13" TargetMode="External" /><Relationship Type="http://schemas.openxmlformats.org/officeDocument/2006/relationships/hyperlink" Id="rId21" Target="https://plus.cq.com/vote/2022/H/64?3" TargetMode="External" /><Relationship Type="http://schemas.openxmlformats.org/officeDocument/2006/relationships/hyperlink" Id="rId22" Target="https://www.congress.gov/bill/117th-congress/house-bill/7007/actions?q=%7b%22search%22%3A%5B%22hr+7007%22%2C%22hr%22%2C%227007%22%5D%7d&amp;r=1&amp;s=4" TargetMode="External" /><Relationship Type="http://schemas.openxmlformats.org/officeDocument/2006/relationships/hyperlink" Id="rId23" Target="https://www.congress.gov/bill/117th-congress/house-resolution/97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063.xml" TargetMode="External" /><Relationship Type="http://schemas.openxmlformats.org/officeDocument/2006/relationships/hyperlink" Id="rId20" Target="http://clerk.house.gov/evs/2022/roll064.xml" TargetMode="External" /><Relationship Type="http://schemas.openxmlformats.org/officeDocument/2006/relationships/hyperlink" Id="rId25" Target="https://plus.cq.com/vote/2022/H/63?13" TargetMode="External" /><Relationship Type="http://schemas.openxmlformats.org/officeDocument/2006/relationships/hyperlink" Id="rId21" Target="https://plus.cq.com/vote/2022/H/64?3" TargetMode="External" /><Relationship Type="http://schemas.openxmlformats.org/officeDocument/2006/relationships/hyperlink" Id="rId22" Target="https://www.congress.gov/bill/117th-congress/house-bill/7007/actions?q=%7b%22search%22%3A%5B%22hr+7007%22%2C%22hr%22%2C%227007%22%5D%7d&amp;r=1&amp;s=4" TargetMode="External" /><Relationship Type="http://schemas.openxmlformats.org/officeDocument/2006/relationships/hyperlink" Id="rId23" Target="https://www.congress.gov/bill/117th-congress/house-resolution/97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2026-01-27T02:09:46Z</dcterms:created>
  <dcterms:modified xsi:type="dcterms:W3CDTF">2026-01-27T02:09:46Z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