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infection-impacts"/>
    <w:p>
      <w:pPr>
        <w:pStyle w:val="Heading1"/>
      </w:pPr>
      <w:r>
        <w:t xml:space="preserve">Infection Impacts</w:t>
      </w:r>
    </w:p>
    <w:bookmarkStart w:id="23" w:name="neurological-impact-research"/>
    <w:p>
      <w:pPr>
        <w:pStyle w:val="Heading3"/>
      </w:pPr>
      <w:r>
        <w:t xml:space="preserve">Neurological Impact Research</w:t>
      </w:r>
    </w:p>
    <w:p>
      <w:pPr>
        <w:pStyle w:val="FirstParagraph"/>
      </w:pPr>
      <w:r>
        <w:rPr>
          <w:bCs/>
          <w:b/>
        </w:rPr>
        <w:t xml:space="preserve">2022: Schweikert Voted Against Authorizing $10 Million For Competitive Grants To Support Interdisciplinary Research On The Impacts On Cognitive Processes After COVID-19 Infections.</w:t>
      </w:r>
      <w:r>
        <w:t xml:space="preserve"> </w:t>
      </w:r>
      <w:r>
        <w:t xml:space="preserve">In July 2022, according to Congressional Quarterly, Schweikert voted against the Brycen Gray and Ben Price COVID–19 Cognitive Research Act, which would</w:t>
      </w:r>
      <w:r>
        <w:t xml:space="preserve"> </w:t>
      </w:r>
      <w:r>
        <w:t xml:space="preserve">“</w:t>
      </w:r>
      <w:r>
        <w:t xml:space="preserve">authorize $10 million for the National Science Foundation to award competitive grants to support interdisciplinary research on the disruption of regular cognitive processes associated with COVID-19 infections. It would specify that this includes long COVID-19 and infections in children and adolescents. Within total authorized funding, it would authorize $1 million for the foundation, in partnership with the National Academies of Sciences, Engineering and Medicine, to produce a study, within 16 months of the bill's enactment, on the disruption of cognitive processes associated with COVID-19 infection. It would require the National Academies to submit a report to Congress on the study and then require the foundation, within three months of that report, to submit to Congress a summary of any plans to implement recommendations contained in the report.</w:t>
      </w:r>
      <w:r>
        <w:t xml:space="preserve">”</w:t>
      </w:r>
      <w:r>
        <w:t xml:space="preserve"> </w:t>
      </w:r>
      <w:r>
        <w:t xml:space="preserve">The vote was on passage. The House passed the bill by a vote 359-62, thus the bill was sent to Senate. The Senate did not take substantive action on the bill. [House Vote 391,</w:t>
      </w:r>
      <w:r>
        <w:t xml:space="preserve"> </w:t>
      </w:r>
      <w:hyperlink r:id="rId20">
        <w:r>
          <w:rPr>
            <w:rStyle w:val="Hyperlink"/>
          </w:rPr>
          <w:t xml:space="preserve">7/26/22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7/26/22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7180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91.xml" TargetMode="External" /><Relationship Type="http://schemas.openxmlformats.org/officeDocument/2006/relationships/hyperlink" Id="rId21" Target="https://plus.cq.com/vote/2022/H/391?11" TargetMode="External" /><Relationship Type="http://schemas.openxmlformats.org/officeDocument/2006/relationships/hyperlink" Id="rId22" Target="https://www.congress.gov/bill/117th-congress/house-bill/718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91.xml" TargetMode="External" /><Relationship Type="http://schemas.openxmlformats.org/officeDocument/2006/relationships/hyperlink" Id="rId21" Target="https://plus.cq.com/vote/2022/H/391?11" TargetMode="External" /><Relationship Type="http://schemas.openxmlformats.org/officeDocument/2006/relationships/hyperlink" Id="rId22" Target="https://www.congress.gov/bill/117th-congress/house-bill/718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2026-01-27T02:09:47Z</dcterms:created>
  <dcterms:modified xsi:type="dcterms:W3CDTF">2026-01-27T02:09:47Z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