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dentity-theft"/>
    <w:p>
      <w:pPr>
        <w:pStyle w:val="Heading1"/>
      </w:pPr>
      <w:r>
        <w:t xml:space="preserve">Identity Theft</w:t>
      </w:r>
    </w:p>
    <w:bookmarkStart w:id="24" w:name="taxpayer-advocate-funding"/>
    <w:p>
      <w:pPr>
        <w:pStyle w:val="Heading3"/>
      </w:pPr>
      <w:r>
        <w:t xml:space="preserve">Taxpayer Advocate Funding</w:t>
      </w:r>
    </w:p>
    <w:p>
      <w:pPr>
        <w:pStyle w:val="FirstParagraph"/>
      </w:pPr>
      <w:r>
        <w:rPr>
          <w:bCs/>
          <w:b/>
        </w:rPr>
        <w:t xml:space="preserve">2017: Schweikert Voted Against Increasing Funding For The Taxpayer Advocate Service’s Identify Theft Caseworker.</w:t>
      </w:r>
      <w:r>
        <w:t xml:space="preserve"> </w:t>
      </w:r>
      <w:r>
        <w:t xml:space="preserve">In September 2017,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increase[d] funding for the Taxpayer Advocate Service’s identity theft casework by $500,000, and would [have] decrease[d] funding for IRS operational support by $1 million.</w:t>
      </w:r>
      <w:r>
        <w:t xml:space="preserve">”</w:t>
      </w:r>
      <w:r>
        <w:t xml:space="preserve"> </w:t>
      </w:r>
      <w:r>
        <w:t xml:space="preserve">The underlying legislation was an FY 2018 omnibus. The House accepted the amendment by a vote of 265 to 143. The House later passed the underlying legislation. The Senate took no substantive action on the overall legislation. [House Vote 526,</w:t>
      </w:r>
      <w:r>
        <w:t xml:space="preserve"> </w:t>
      </w:r>
      <w:hyperlink r:id="rId20">
        <w:r>
          <w:rPr>
            <w:rStyle w:val="Hyperlink"/>
          </w:rPr>
          <w:t xml:space="preserve">9/14/17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9/14/17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445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3354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26.xml" TargetMode="External" /><Relationship Type="http://schemas.openxmlformats.org/officeDocument/2006/relationships/hyperlink" Id="rId21" Target="http://cq.com/vote/2017/H/526?1" TargetMode="External" /><Relationship Type="http://schemas.openxmlformats.org/officeDocument/2006/relationships/hyperlink" Id="rId22" Target="https://www.congress.gov/amendment/115th-congress/house-amendment/445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26.xml" TargetMode="External" /><Relationship Type="http://schemas.openxmlformats.org/officeDocument/2006/relationships/hyperlink" Id="rId21" Target="http://cq.com/vote/2017/H/526?1" TargetMode="External" /><Relationship Type="http://schemas.openxmlformats.org/officeDocument/2006/relationships/hyperlink" Id="rId22" Target="https://www.congress.gov/amendment/115th-congress/house-amendment/445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2026-01-27T02:09:43Z</dcterms:created>
  <dcterms:modified xsi:type="dcterms:W3CDTF">2026-01-27T02:09:43Z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