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federal-trade-commission"/>
    <w:p>
      <w:pPr>
        <w:pStyle w:val="Heading1"/>
      </w:pPr>
      <w:r>
        <w:t xml:space="preserve">Federal Trade Commission</w:t>
      </w:r>
    </w:p>
    <w:bookmarkStart w:id="26" w:name="funding"/>
    <w:p>
      <w:pPr>
        <w:pStyle w:val="Heading3"/>
      </w:pPr>
      <w:r>
        <w:t xml:space="preserve">Funding</w:t>
      </w:r>
    </w:p>
    <w:p>
      <w:pPr>
        <w:pStyle w:val="FirstParagraph"/>
      </w:pPr>
      <w:r>
        <w:rPr>
          <w:bCs/>
          <w:b/>
        </w:rPr>
        <w:t xml:space="preserve">2022: Schweikert Voted Against Appropriating $490 Million To The Federal Trade Commission For FY 2023.</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$490 million for the Federal Trade Commission.</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p>
      <w:pPr>
        <w:pStyle w:val="BodyText"/>
      </w:pPr>
      <w:r>
        <w:rPr>
          <w:bCs/>
          <w:b/>
        </w:rPr>
        <w:t xml:space="preserve">2022: Schweikert Voted Against An Amendment That Shifted $5 Million Within The Federal Trade Commission To Encourage Consumers’ Right To Repair And Hold Companies Accountable For Anti-Competitive Activities That Limit Repairs.</w:t>
      </w:r>
      <w:r>
        <w:t xml:space="preserve"> </w:t>
      </w:r>
      <w:r>
        <w:t xml:space="preserve">In July 2022, according to Congressional Quarterly, Schweikert voted against en bloc amendments no. 5 to the Transportation, Housing and Urban Development, and Related Agencies Appropriations Act, 2023, which would, in part,</w:t>
      </w:r>
      <w:r>
        <w:t xml:space="preserve"> </w:t>
      </w:r>
      <w:r>
        <w:t xml:space="preserve">“</w:t>
      </w:r>
      <w:r>
        <w:t xml:space="preserve">increase and decrease funding for the Federal Trade Commission by $5 million, intended to encourage the FTC to continue using its existing authority to protect consumers' right to repair and hold accountable companies who engage in anti-competitive conduct limiting repairs by consumers.</w:t>
      </w:r>
      <w:r>
        <w:t xml:space="preserve">”</w:t>
      </w:r>
      <w:r>
        <w:t xml:space="preserve"> </w:t>
      </w:r>
      <w:r>
        <w:t xml:space="preserve">The vote was on the adoption of amendments. The House adopted the amendments by a vote 224-204. [House Vote 372,</w:t>
      </w:r>
      <w:r>
        <w:t xml:space="preserve"> </w:t>
      </w:r>
      <w:hyperlink r:id="rId23">
        <w:r>
          <w:rPr>
            <w:rStyle w:val="Hyperlink"/>
          </w:rPr>
          <w:t xml:space="preserve">7/19/22</w:t>
        </w:r>
      </w:hyperlink>
      <w:r>
        <w:t xml:space="preserve">; Congressional Quarterly,</w:t>
      </w:r>
      <w:r>
        <w:t xml:space="preserve"> </w:t>
      </w:r>
      <w:hyperlink r:id="rId24">
        <w:r>
          <w:rPr>
            <w:rStyle w:val="Hyperlink"/>
          </w:rPr>
          <w:t xml:space="preserve">7/19/22</w:t>
        </w:r>
      </w:hyperlink>
      <w:r>
        <w:t xml:space="preserve">; Congressional Actions,</w:t>
      </w:r>
      <w:r>
        <w:t xml:space="preserve"> </w:t>
      </w:r>
      <w:hyperlink r:id="rId25">
        <w:r>
          <w:rPr>
            <w:rStyle w:val="Hyperlink"/>
          </w:rPr>
          <w:t xml:space="preserve">H.Amdt. 298</w:t>
        </w:r>
      </w:hyperlink>
      <w:r>
        <w:t xml:space="preserve">; Congressional Actions,</w:t>
      </w:r>
      <w:r>
        <w:t xml:space="preserve"> </w:t>
      </w:r>
      <w:hyperlink r:id="rId22">
        <w:r>
          <w:rPr>
            <w:rStyle w:val="Hyperlink"/>
          </w:rPr>
          <w:t xml:space="preserve">H.R. 8294</w:t>
        </w:r>
      </w:hyperlink>
      <w:r>
        <w:t xml:space="preserve">]</w:t>
      </w:r>
    </w:p>
    <w:bookmarkEnd w:id="26"/>
    <w:bookmarkStart w:id="30" w:name="tribal-scam-prevention"/>
    <w:p>
      <w:pPr>
        <w:pStyle w:val="Heading3"/>
      </w:pPr>
      <w:r>
        <w:t xml:space="preserve">Tribal Scam Prevention</w:t>
      </w:r>
    </w:p>
    <w:p>
      <w:pPr>
        <w:pStyle w:val="FirstParagraph"/>
      </w:pPr>
      <w:r>
        <w:rPr>
          <w:bCs/>
          <w:b/>
        </w:rPr>
        <w:t xml:space="preserve">2021: Schweikert Voted For Requiring The Federal Trade Commission To Submit And Publish A Report On Scams Targeting Tribal Organizations With Policy Recommendations For Scam Prevention And Requiring The Commission’s Website To Include Information On How To Identify And Avoid Scams.</w:t>
      </w:r>
      <w:r>
        <w:t xml:space="preserve"> </w:t>
      </w:r>
      <w:r>
        <w:t xml:space="preserve">In April 2021, Schweikert voted for the Protecting Indian Tribes From Scams Act of 2021 which would, according to Congressional Quarterly,</w:t>
      </w:r>
      <w:r>
        <w:t xml:space="preserve"> </w:t>
      </w:r>
      <w:r>
        <w:t xml:space="preserve">“</w:t>
      </w:r>
      <w:r>
        <w:t xml:space="preserve">require the Federal Trade Commission, within one year of enactment, to submit to Congress and publish on its website a report on unfair or deceptive practices targeted at tribal organizations and members and efforts to combat and prevent such practices, including a description of FTC enforcement and consumer education activities and legislative recommendations to prevent such practices. It would also require the commission to update its website to include information for consumers and businesses to identify and avoid such practices.</w:t>
      </w:r>
      <w:r>
        <w:t xml:space="preserve">”</w:t>
      </w:r>
      <w:r>
        <w:t xml:space="preserve"> </w:t>
      </w:r>
      <w:r>
        <w:t xml:space="preserve">The vote was on passage. The House passed the bill by a vote of 408-10. [House Vote 111,</w:t>
      </w:r>
      <w:r>
        <w:t xml:space="preserve"> </w:t>
      </w:r>
      <w:hyperlink r:id="rId27">
        <w:r>
          <w:rPr>
            <w:rStyle w:val="Hyperlink"/>
          </w:rPr>
          <w:t xml:space="preserve">4/15/21</w:t>
        </w:r>
      </w:hyperlink>
      <w:r>
        <w:t xml:space="preserve">; Congressional Quarterly,</w:t>
      </w:r>
      <w:r>
        <w:t xml:space="preserve"> </w:t>
      </w:r>
      <w:hyperlink r:id="rId28">
        <w:r>
          <w:rPr>
            <w:rStyle w:val="Hyperlink"/>
          </w:rPr>
          <w:t xml:space="preserve">4/15/21</w:t>
        </w:r>
      </w:hyperlink>
      <w:r>
        <w:t xml:space="preserve">; Congressional Actions,</w:t>
      </w:r>
      <w:r>
        <w:t xml:space="preserve"> </w:t>
      </w:r>
      <w:hyperlink r:id="rId29">
        <w:r>
          <w:rPr>
            <w:rStyle w:val="Hyperlink"/>
          </w:rPr>
          <w:t xml:space="preserve">H.R. 1762</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1/roll111.xml" TargetMode="External" /><Relationship Type="http://schemas.openxmlformats.org/officeDocument/2006/relationships/hyperlink" Id="rId23" Target="http://clerk.house.gov/evs/2022/roll372.xml" TargetMode="External" /><Relationship Type="http://schemas.openxmlformats.org/officeDocument/2006/relationships/hyperlink" Id="rId20" Target="http://clerk.house.gov/evs/2022/roll383.xml" TargetMode="External" /><Relationship Type="http://schemas.openxmlformats.org/officeDocument/2006/relationships/hyperlink" Id="rId28" Target="https://plus.cq.com/vote/2021/H/111?11" TargetMode="External" /><Relationship Type="http://schemas.openxmlformats.org/officeDocument/2006/relationships/hyperlink" Id="rId24" Target="https://plus.cq.com/vote/2022/H/372?5" TargetMode="External" /><Relationship Type="http://schemas.openxmlformats.org/officeDocument/2006/relationships/hyperlink" Id="rId21" Target="https://plus.cq.com/vote/2022/H/383?13" TargetMode="External" /><Relationship Type="http://schemas.openxmlformats.org/officeDocument/2006/relationships/hyperlink" Id="rId25" Target="https://www.congress.gov/amendment/117th-congress/house-amendment/298/actions?s=a&amp;r=4" TargetMode="External" /><Relationship Type="http://schemas.openxmlformats.org/officeDocument/2006/relationships/hyperlink" Id="rId29" Target="https://www.congress.gov/bill/117th-congress/house-bill/1762/actions" TargetMode="External" /><Relationship Type="http://schemas.openxmlformats.org/officeDocument/2006/relationships/hyperlink" Id="rId22"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1/roll111.xml" TargetMode="External" /><Relationship Type="http://schemas.openxmlformats.org/officeDocument/2006/relationships/hyperlink" Id="rId23" Target="http://clerk.house.gov/evs/2022/roll372.xml" TargetMode="External" /><Relationship Type="http://schemas.openxmlformats.org/officeDocument/2006/relationships/hyperlink" Id="rId20" Target="http://clerk.house.gov/evs/2022/roll383.xml" TargetMode="External" /><Relationship Type="http://schemas.openxmlformats.org/officeDocument/2006/relationships/hyperlink" Id="rId28" Target="https://plus.cq.com/vote/2021/H/111?11" TargetMode="External" /><Relationship Type="http://schemas.openxmlformats.org/officeDocument/2006/relationships/hyperlink" Id="rId24" Target="https://plus.cq.com/vote/2022/H/372?5" TargetMode="External" /><Relationship Type="http://schemas.openxmlformats.org/officeDocument/2006/relationships/hyperlink" Id="rId21" Target="https://plus.cq.com/vote/2022/H/383?13" TargetMode="External" /><Relationship Type="http://schemas.openxmlformats.org/officeDocument/2006/relationships/hyperlink" Id="rId25" Target="https://www.congress.gov/amendment/117th-congress/house-amendment/298/actions?s=a&amp;r=4" TargetMode="External" /><Relationship Type="http://schemas.openxmlformats.org/officeDocument/2006/relationships/hyperlink" Id="rId29" Target="https://www.congress.gov/bill/117th-congress/house-bill/1762/actions" TargetMode="External" /><Relationship Type="http://schemas.openxmlformats.org/officeDocument/2006/relationships/hyperlink" Id="rId22"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