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public-works-assistance"/>
    <w:p>
      <w:pPr>
        <w:pStyle w:val="Heading1"/>
      </w:pPr>
      <w:r>
        <w:t xml:space="preserve">Public Works Assistance</w:t>
      </w:r>
    </w:p>
    <w:bookmarkStart w:id="23" w:name="Xdea2c9b2d137a54601df4f743c8929359470175"/>
    <w:p>
      <w:pPr>
        <w:pStyle w:val="Heading3"/>
      </w:pPr>
      <w:r>
        <w:t xml:space="preserve">Comprehensive Economic Development Strategy</w:t>
      </w:r>
    </w:p>
    <w:p>
      <w:pPr>
        <w:pStyle w:val="FirstParagraph"/>
      </w:pPr>
      <w:r>
        <w:rPr>
          <w:bCs/>
          <w:b/>
        </w:rPr>
        <w:t xml:space="preserve">2022: Schweikert Voted Against Requiring Grant Applicants For Public Works Assistance Or Economic Adjustment Assistance To Describe Their Comprehensive Economic Development Strategy That Would Increase Access To Affordable, Quality, Care-Based Services, Such As Child Care, Early Education, Disability And Long-Term Care, And Elder Care.</w:t>
      </w:r>
      <w:r>
        <w:t xml:space="preserve"> </w:t>
      </w:r>
      <w:r>
        <w:t xml:space="preserve">In March 2022, according to Congressional Quarterly, Schweikert voted against the Care is an Economic Development Strategy Act, which would</w:t>
      </w:r>
      <w:r>
        <w:t xml:space="preserve"> </w:t>
      </w:r>
      <w:r>
        <w:t xml:space="preserve">“</w:t>
      </w:r>
      <w:r>
        <w:t xml:space="preserve">require a grant applicant for Commerce Department public works assistance or economic adjustment assistance, to include in its application a comprehensive economic development strategy to directly or indirectly increase the accessibility of affordable, quality care-based services, including child care, early childhood education, disability and long-term care, and elder care. It would require the department to issue guidance within one year of enactment on how to implement the bill's provisions. It would also require the department's inspector general, within 180 days of enactment, to submit a report to Congress on the activities and outcomes of economic adjustment assistance funding provided by the March 2020 coronavirus relief law (HR 748 / PL 116-136).</w:t>
      </w:r>
      <w:r>
        <w:t xml:space="preserve">”</w:t>
      </w:r>
      <w:r>
        <w:t xml:space="preserve"> </w:t>
      </w:r>
      <w:r>
        <w:t xml:space="preserve">The vote was on passage. The House passed the bill by a vote of 304-122, thus the bill was sent to the Senate. [House Vote 94,</w:t>
      </w:r>
      <w:r>
        <w:t xml:space="preserve"> </w:t>
      </w:r>
      <w:hyperlink r:id="rId20">
        <w:r>
          <w:rPr>
            <w:rStyle w:val="Hyperlink"/>
          </w:rPr>
          <w:t xml:space="preserve">3/30/22</w:t>
        </w:r>
      </w:hyperlink>
      <w:r>
        <w:t xml:space="preserve">; Congressional Quarterly,</w:t>
      </w:r>
      <w:r>
        <w:t xml:space="preserve"> </w:t>
      </w:r>
      <w:hyperlink r:id="rId21">
        <w:r>
          <w:rPr>
            <w:rStyle w:val="Hyperlink"/>
          </w:rPr>
          <w:t xml:space="preserve">3/30/22</w:t>
        </w:r>
      </w:hyperlink>
      <w:r>
        <w:t xml:space="preserve">; Congressional Actions,</w:t>
      </w:r>
      <w:r>
        <w:t xml:space="preserve"> </w:t>
      </w:r>
      <w:hyperlink r:id="rId22">
        <w:r>
          <w:rPr>
            <w:rStyle w:val="Hyperlink"/>
          </w:rPr>
          <w:t xml:space="preserve">H.R. 5547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094.xml" TargetMode="External" /><Relationship Type="http://schemas.openxmlformats.org/officeDocument/2006/relationships/hyperlink" Id="rId21" Target="https://plus.cq.com/vote/2022/H/94?18" TargetMode="External" /><Relationship Type="http://schemas.openxmlformats.org/officeDocument/2006/relationships/hyperlink" Id="rId22" Target="https://www.congress.gov/bill/117th-congress/house-bill/5547/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094.xml" TargetMode="External" /><Relationship Type="http://schemas.openxmlformats.org/officeDocument/2006/relationships/hyperlink" Id="rId21" Target="https://plus.cq.com/vote/2022/H/94?18" TargetMode="External" /><Relationship Type="http://schemas.openxmlformats.org/officeDocument/2006/relationships/hyperlink" Id="rId22" Target="https://www.congress.gov/bill/117th-congress/house-bill/5547/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