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merce"/>
    <w:p>
      <w:pPr>
        <w:pStyle w:val="Heading1"/>
      </w:pPr>
      <w:r>
        <w:t xml:space="preserve">Commerce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Department Of Commerce</w:t>
      </w:r>
    </w:p>
    <w:p>
      <w:pPr>
        <w:numPr>
          <w:ilvl w:val="0"/>
          <w:numId w:val="1001"/>
        </w:numPr>
        <w:pStyle w:val="Compact"/>
      </w:pPr>
      <w:r>
        <w:t xml:space="preserve">Federal Maritime Commission</w:t>
      </w:r>
    </w:p>
    <w:p>
      <w:pPr>
        <w:numPr>
          <w:ilvl w:val="0"/>
          <w:numId w:val="1001"/>
        </w:numPr>
        <w:pStyle w:val="Compact"/>
      </w:pPr>
      <w:r>
        <w:t xml:space="preserve">Public Works Assistance</w:t>
      </w:r>
    </w:p>
    <w:p>
      <w:pPr>
        <w:numPr>
          <w:ilvl w:val="0"/>
          <w:numId w:val="1001"/>
        </w:numPr>
        <w:pStyle w:val="Compact"/>
      </w:pPr>
      <w:r>
        <w:t xml:space="preserve">Tariffs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