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voter-access-campaign-finance-and-ethics"/>
    <w:p>
      <w:pPr>
        <w:pStyle w:val="Heading1"/>
      </w:pPr>
      <w:r>
        <w:t xml:space="preserve">Voter Access, Campaign Finance And Ethics</w:t>
      </w:r>
    </w:p>
    <w:p>
      <w:pPr>
        <w:pStyle w:val="FirstParagraph"/>
      </w:pPr>
      <w:r>
        <w:rPr>
          <w:bCs/>
          <w:b/>
        </w:rPr>
        <w:t xml:space="preserve">2021: Schweikert Effectively Voted Against The For The People Act, Which Would Reform Campaign Finance And Voter Access.</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the For the People Act (HR 1) and the George Floyd Justice in Policing Act (HR 1280). The rule would provide for up to one hour of debate on HR 1; up to one hour of debate on HR 1280; provide for automatic adoption of a Lofgren, D-Calif., manager's amendment to HR 1; make in order floor consideration of 56 amendments to HR 1.</w:t>
      </w:r>
      <w:r>
        <w:t xml:space="preserve">”</w:t>
      </w:r>
      <w:r>
        <w:t xml:space="preserve"> </w:t>
      </w:r>
      <w:r>
        <w:t xml:space="preserve">The vote was on the adoption of the rule. The House adopted the rule by a vote of 218-207. [House Vote 51,</w:t>
      </w:r>
      <w:r>
        <w:t xml:space="preserve"> </w:t>
      </w:r>
      <w:hyperlink r:id="rId20">
        <w:r>
          <w:rPr>
            <w:rStyle w:val="Hyperlink"/>
          </w:rPr>
          <w:t xml:space="preserve">3/1/21</w:t>
        </w:r>
      </w:hyperlink>
      <w:r>
        <w:t xml:space="preserve">; Congressional Quarterly,</w:t>
      </w:r>
      <w:r>
        <w:t xml:space="preserve"> </w:t>
      </w:r>
      <w:hyperlink r:id="rId21">
        <w:r>
          <w:rPr>
            <w:rStyle w:val="Hyperlink"/>
          </w:rPr>
          <w:t xml:space="preserve">3/1/21</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3">
        <w:r>
          <w:rPr>
            <w:rStyle w:val="Hyperlink"/>
          </w:rPr>
          <w:t xml:space="preserve">H.Res. 179</w:t>
        </w:r>
      </w:hyperlink>
      <w:r>
        <w:t xml:space="preserve">]</w:t>
      </w:r>
    </w:p>
    <w:p>
      <w:pPr>
        <w:pStyle w:val="BodyText"/>
      </w:pPr>
      <w:r>
        <w:rPr>
          <w:bCs/>
          <w:b/>
        </w:rPr>
        <w:t xml:space="preserve">2021: Schweikert Effectively Voted Against The For The People Act, Which Would Reform Campaign Finance And Voter Access.</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179) that would provide for House floor consideration of the For the People Act (HR 1) and the George Floyd Justice in Policing Act (HR 1280). The rule would provide for up to one hour of debate on HR 1; up to one hour of debate on HR 1280; provide for automatic adoption of a Lofgren, D-Calif., manager's amendment to HR 1; make in order floor consideration of 56 amendments to HR 1.</w:t>
      </w:r>
      <w:r>
        <w:t xml:space="preserve">”</w:t>
      </w:r>
      <w:r>
        <w:t xml:space="preserve"> </w:t>
      </w:r>
      <w:r>
        <w:t xml:space="preserve">The vote was on a motion to order the previous question. The House agreed to the motion by a vote of 220-201. [House Vote 50,</w:t>
      </w:r>
      <w:r>
        <w:t xml:space="preserve"> </w:t>
      </w:r>
      <w:hyperlink r:id="rId24">
        <w:r>
          <w:rPr>
            <w:rStyle w:val="Hyperlink"/>
          </w:rPr>
          <w:t xml:space="preserve">3/1/21</w:t>
        </w:r>
      </w:hyperlink>
      <w:r>
        <w:t xml:space="preserve">; Congressional Quarterly,</w:t>
      </w:r>
      <w:r>
        <w:t xml:space="preserve"> </w:t>
      </w:r>
      <w:hyperlink r:id="rId25">
        <w:r>
          <w:rPr>
            <w:rStyle w:val="Hyperlink"/>
          </w:rPr>
          <w:t xml:space="preserve">3/1/21</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3">
        <w:r>
          <w:rPr>
            <w:rStyle w:val="Hyperlink"/>
          </w:rPr>
          <w:t xml:space="preserve">H.Res. 179</w:t>
        </w:r>
      </w:hyperlink>
      <w:r>
        <w:t xml:space="preserve">]</w:t>
      </w:r>
    </w:p>
    <w:bookmarkStart w:id="26" w:name="managers-amendment"/>
    <w:p>
      <w:pPr>
        <w:pStyle w:val="Heading3"/>
      </w:pPr>
      <w:r>
        <w:t xml:space="preserve">Manager’s Amendment</w:t>
      </w:r>
    </w:p>
    <w:p>
      <w:pPr>
        <w:pStyle w:val="FirstParagraph"/>
      </w:pPr>
      <w:r>
        <w:rPr>
          <w:bCs/>
          <w:b/>
        </w:rPr>
        <w:t xml:space="preserve">2021: Schweikert Effectively Voted Against An Amendment That Would Require The Barcode Service For Mail-In Ballots, Prohibit Campaigns From Accepting Opposition Research Donated By Foreign Entities, Remove A Provision That Would Deport Undocumented Immigrants Believed To Have Interfered In U.S. Elections, And Direct The Federal Election Commission To Establish A New Designation For Separate Segregated Funds.</w:t>
      </w:r>
      <w:r>
        <w:t xml:space="preserve"> </w:t>
      </w:r>
      <w:r>
        <w:t xml:space="preserve">In March 2021, Schweikert voted against the manager’s amendment to the For The People Act which would according to Congressional Quarterly,</w:t>
      </w:r>
      <w:r>
        <w:t xml:space="preserve"> </w:t>
      </w:r>
      <w:r>
        <w:t xml:space="preserve">“</w:t>
      </w:r>
      <w:r>
        <w:t xml:space="preserve">require mail-in ballots to use the Postal Service barcode service; clarify that the definition of</w:t>
      </w:r>
      <w:r>
        <w:t xml:space="preserve"> </w:t>
      </w:r>
      <w:r>
        <w:t xml:space="preserve">‘</w:t>
      </w:r>
      <w:r>
        <w:t xml:space="preserve">thing of value</w:t>
      </w:r>
      <w:r>
        <w:t xml:space="preserve">’</w:t>
      </w:r>
      <w:r>
        <w:t xml:space="preserve"> </w:t>
      </w:r>
      <w:r>
        <w:t xml:space="preserve">with regard to the statutory prohibition on foreign donations to political campaigns includes provision of opposition research, polling, or other non-public information on a candidate for the purpose of influencing an election; remove provisions in the bill that would provide for the inadmissibility or deportation of undocumented immigrants reasonably believed to have interfered or intend to interfere in U.S. elections; and require the Federal Election Commission to collect information and initiate a rulemaking process to establish a new designation and classification for separate segregated funds, which are a type of PAC financially supported by a corporation or labor organization.</w:t>
      </w:r>
      <w:r>
        <w:t xml:space="preserve">”</w:t>
      </w:r>
      <w:r>
        <w:t xml:space="preserve"> </w:t>
      </w:r>
      <w:r>
        <w:t xml:space="preserve">The vote was on the adoption of the rule. The House adopted the rule by a vote of 218-207, thus automatically adopting the manager’s amendment. [House Vote 51,</w:t>
      </w:r>
      <w:r>
        <w:t xml:space="preserve"> </w:t>
      </w:r>
      <w:hyperlink r:id="rId20">
        <w:r>
          <w:rPr>
            <w:rStyle w:val="Hyperlink"/>
          </w:rPr>
          <w:t xml:space="preserve">3/1/21</w:t>
        </w:r>
      </w:hyperlink>
      <w:r>
        <w:t xml:space="preserve">; Congressional Quarterly,</w:t>
      </w:r>
      <w:r>
        <w:t xml:space="preserve"> </w:t>
      </w:r>
      <w:hyperlink r:id="rId21">
        <w:r>
          <w:rPr>
            <w:rStyle w:val="Hyperlink"/>
          </w:rPr>
          <w:t xml:space="preserve">3/1/21</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3">
        <w:r>
          <w:rPr>
            <w:rStyle w:val="Hyperlink"/>
          </w:rPr>
          <w:t xml:space="preserve">H.Res. 179</w:t>
        </w:r>
      </w:hyperlink>
      <w:r>
        <w:t xml:space="preserve">]</w:t>
      </w:r>
    </w:p>
    <w:p>
      <w:pPr>
        <w:pStyle w:val="BodyText"/>
      </w:pPr>
      <w:r>
        <w:rPr>
          <w:bCs/>
          <w:b/>
        </w:rPr>
        <w:t xml:space="preserve">2021: Schweikert Effectively Voted Against An Amendment That Would Require The Barcode Service For Mail-In Ballots, Prohibit Campaigns From Accepting Opposition Research Donated By Foreign Entities, Remove A Provision That Would Deport Undocumented Immigrants Believed To Have Interfered In U.S. Elections, And Direct The Federal Election Commission To Establish A New Designation For Separate Segregated Funds.</w:t>
      </w:r>
      <w:r>
        <w:t xml:space="preserve"> </w:t>
      </w:r>
      <w:r>
        <w:t xml:space="preserve">In March 2021, Schweikert effectively voted against the manager’s amendment to the For The People Act which would according to Congressional Quarterly,</w:t>
      </w:r>
      <w:r>
        <w:t xml:space="preserve"> </w:t>
      </w:r>
      <w:r>
        <w:t xml:space="preserve">“</w:t>
      </w:r>
      <w:r>
        <w:t xml:space="preserve">require mail-in ballots to use the Postal Service barcode service; clarify that the definition of</w:t>
      </w:r>
      <w:r>
        <w:t xml:space="preserve"> </w:t>
      </w:r>
      <w:r>
        <w:t xml:space="preserve">‘</w:t>
      </w:r>
      <w:r>
        <w:t xml:space="preserve">thing of value</w:t>
      </w:r>
      <w:r>
        <w:t xml:space="preserve">’</w:t>
      </w:r>
      <w:r>
        <w:t xml:space="preserve"> </w:t>
      </w:r>
      <w:r>
        <w:t xml:space="preserve">with regard to the statutory prohibition on foreign donations to political campaigns includes provision of opposition research, polling, or other non-public information on a candidate for the purpose of influencing an election; remove provisions in the bill that would provide for the inadmissibility or deportation of undocumented immigrants reasonably believed to have interfered or intend to interfere in U.S. elections; and require the Federal Election Commission to collect information and initiate a rulemaking process to establish a new designation and classification for separate segregated funds, which are a type of PAC financially supported by a corporation or labor organization.</w:t>
      </w:r>
      <w:r>
        <w:t xml:space="preserve">”</w:t>
      </w:r>
      <w:r>
        <w:t xml:space="preserve"> </w:t>
      </w:r>
      <w:r>
        <w:t xml:space="preserve">The vote was on a motion to order the previous question. The House agreed to the motion by a vote of 220-201. [House Vote 50,</w:t>
      </w:r>
      <w:r>
        <w:t xml:space="preserve"> </w:t>
      </w:r>
      <w:hyperlink r:id="rId24">
        <w:r>
          <w:rPr>
            <w:rStyle w:val="Hyperlink"/>
          </w:rPr>
          <w:t xml:space="preserve">3/1/21</w:t>
        </w:r>
      </w:hyperlink>
      <w:r>
        <w:t xml:space="preserve">; Congressional Quarterly,</w:t>
      </w:r>
      <w:r>
        <w:t xml:space="preserve"> </w:t>
      </w:r>
      <w:hyperlink r:id="rId25">
        <w:r>
          <w:rPr>
            <w:rStyle w:val="Hyperlink"/>
          </w:rPr>
          <w:t xml:space="preserve">3/1/21</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3">
        <w:r>
          <w:rPr>
            <w:rStyle w:val="Hyperlink"/>
          </w:rPr>
          <w:t xml:space="preserve">H.Res. 179</w:t>
        </w:r>
      </w:hyperlink>
      <w:r>
        <w:t xml:space="preserve">]</w:t>
      </w:r>
    </w:p>
    <w:bookmarkEnd w:id="26"/>
    <w:bookmarkStart w:id="28" w:name="public-finance-system"/>
    <w:p>
      <w:pPr>
        <w:pStyle w:val="Heading3"/>
      </w:pPr>
      <w:r>
        <w:t xml:space="preserve">Public Finance System</w:t>
      </w:r>
    </w:p>
    <w:p>
      <w:pPr>
        <w:pStyle w:val="FirstParagraph"/>
      </w:pPr>
      <w:r>
        <w:rPr>
          <w:bCs/>
          <w:b/>
        </w:rPr>
        <w:t xml:space="preserve">2021: Schweikert Effectively Voted Against Allowing House Candidates To Declare To The House Clerk Whether They Would Participate In The Proposed Small Donor Finance System.</w:t>
      </w:r>
      <w:r>
        <w:t xml:space="preserve"> </w:t>
      </w:r>
      <w:r>
        <w:t xml:space="preserve">In March 2021, Schweikert voted against the automatic adoption of the resolution which would according to Congressional Quarterly,</w:t>
      </w:r>
      <w:r>
        <w:t xml:space="preserve"> </w:t>
      </w:r>
      <w:r>
        <w:t xml:space="preserve">“</w:t>
      </w:r>
      <w:r>
        <w:t xml:space="preserve">authorize House candidates to file statements with the clerk regarding whether they intend to participate in the small donor financing system established by HR 1, which would be posted on the clerk's public website.</w:t>
      </w:r>
      <w:r>
        <w:t xml:space="preserve">”</w:t>
      </w:r>
      <w:r>
        <w:t xml:space="preserve"> </w:t>
      </w:r>
      <w:r>
        <w:t xml:space="preserve">The vote was on the adoption of the rule. The House adopted the rule by a vote of 218-207, thus automatically adopting the resolution. [House Vote 51,</w:t>
      </w:r>
      <w:r>
        <w:t xml:space="preserve"> </w:t>
      </w:r>
      <w:hyperlink r:id="rId20">
        <w:r>
          <w:rPr>
            <w:rStyle w:val="Hyperlink"/>
          </w:rPr>
          <w:t xml:space="preserve">3/1/21</w:t>
        </w:r>
      </w:hyperlink>
      <w:r>
        <w:t xml:space="preserve">; Congressional Quarterly,</w:t>
      </w:r>
      <w:r>
        <w:t xml:space="preserve"> </w:t>
      </w:r>
      <w:hyperlink r:id="rId21">
        <w:r>
          <w:rPr>
            <w:rStyle w:val="Hyperlink"/>
          </w:rPr>
          <w:t xml:space="preserve">3/1/21</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7">
        <w:r>
          <w:rPr>
            <w:rStyle w:val="Hyperlink"/>
          </w:rPr>
          <w:t xml:space="preserve">H.Res. 177</w:t>
        </w:r>
      </w:hyperlink>
      <w:r>
        <w:t xml:space="preserve">; Congressional Actions,</w:t>
      </w:r>
      <w:r>
        <w:t xml:space="preserve"> </w:t>
      </w:r>
      <w:hyperlink r:id="rId23">
        <w:r>
          <w:rPr>
            <w:rStyle w:val="Hyperlink"/>
          </w:rPr>
          <w:t xml:space="preserve">H.Res. 179</w:t>
        </w:r>
      </w:hyperlink>
      <w:r>
        <w:t xml:space="preserve">]</w:t>
      </w:r>
    </w:p>
    <w:p>
      <w:pPr>
        <w:pStyle w:val="BodyText"/>
      </w:pPr>
      <w:r>
        <w:rPr>
          <w:bCs/>
          <w:b/>
        </w:rPr>
        <w:t xml:space="preserve">2021: Schweikert Effectively Voted Against Allowing House Candidates To Declare To The House Clerk Whether They Would Participate In The Proposed Small Donor Finance System.</w:t>
      </w:r>
      <w:r>
        <w:t xml:space="preserve"> </w:t>
      </w:r>
      <w:r>
        <w:t xml:space="preserve">In March 2021, Schweikert effectively voted against the automatic adoption of the resolution which would according to Congressional Quarterly,</w:t>
      </w:r>
      <w:r>
        <w:t xml:space="preserve"> </w:t>
      </w:r>
      <w:r>
        <w:t xml:space="preserve">“</w:t>
      </w:r>
      <w:r>
        <w:t xml:space="preserve">authorize House candidates to file statements with the clerk regarding whether they intend to participate in the small donor financing system established by HR 1, which would be posted on the clerk's public website.</w:t>
      </w:r>
      <w:r>
        <w:t xml:space="preserve">”</w:t>
      </w:r>
      <w:r>
        <w:t xml:space="preserve"> </w:t>
      </w:r>
      <w:r>
        <w:t xml:space="preserve">The vote was on a motion to order the previous question. The House agreed to the motion by a vote of 220-201. [House Vote 50,</w:t>
      </w:r>
      <w:r>
        <w:t xml:space="preserve"> </w:t>
      </w:r>
      <w:hyperlink r:id="rId24">
        <w:r>
          <w:rPr>
            <w:rStyle w:val="Hyperlink"/>
          </w:rPr>
          <w:t xml:space="preserve">3/1/21</w:t>
        </w:r>
      </w:hyperlink>
      <w:r>
        <w:t xml:space="preserve">; Congressional Quarterly,</w:t>
      </w:r>
      <w:r>
        <w:t xml:space="preserve"> </w:t>
      </w:r>
      <w:hyperlink r:id="rId25">
        <w:r>
          <w:rPr>
            <w:rStyle w:val="Hyperlink"/>
          </w:rPr>
          <w:t xml:space="preserve">3/1/21</w:t>
        </w:r>
      </w:hyperlink>
      <w:r>
        <w:t xml:space="preserve">; Congressional Actions,</w:t>
      </w:r>
      <w:r>
        <w:t xml:space="preserve"> </w:t>
      </w:r>
      <w:hyperlink r:id="rId22">
        <w:r>
          <w:rPr>
            <w:rStyle w:val="Hyperlink"/>
          </w:rPr>
          <w:t xml:space="preserve">H.R. 1</w:t>
        </w:r>
      </w:hyperlink>
      <w:r>
        <w:t xml:space="preserve">; Congressional Actions,</w:t>
      </w:r>
      <w:r>
        <w:t xml:space="preserve"> </w:t>
      </w:r>
      <w:hyperlink r:id="rId27">
        <w:r>
          <w:rPr>
            <w:rStyle w:val="Hyperlink"/>
          </w:rPr>
          <w:t xml:space="preserve">H.Res. 177</w:t>
        </w:r>
      </w:hyperlink>
      <w:r>
        <w:t xml:space="preserve">; Congressional Actions,</w:t>
      </w:r>
      <w:r>
        <w:t xml:space="preserve"> </w:t>
      </w:r>
      <w:hyperlink r:id="rId23">
        <w:r>
          <w:rPr>
            <w:rStyle w:val="Hyperlink"/>
          </w:rPr>
          <w:t xml:space="preserve">H.Res. 179</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1/roll050.xml" TargetMode="External" /><Relationship Type="http://schemas.openxmlformats.org/officeDocument/2006/relationships/hyperlink" Id="rId20" Target="http://clerk.house.gov/evs/2021/roll051.xml" TargetMode="External" /><Relationship Type="http://schemas.openxmlformats.org/officeDocument/2006/relationships/hyperlink" Id="rId25" Target="https://plus.cq.com/vote/2021/H/50?5" TargetMode="External" /><Relationship Type="http://schemas.openxmlformats.org/officeDocument/2006/relationships/hyperlink" Id="rId21" Target="https://plus.cq.com/vote/2021/H/51?3" TargetMode="External" /><Relationship Type="http://schemas.openxmlformats.org/officeDocument/2006/relationships/hyperlink" Id="rId22" Target="https://www.congress.gov/bill/117th-congress/house-bill/1/actions" TargetMode="External" /><Relationship Type="http://schemas.openxmlformats.org/officeDocument/2006/relationships/hyperlink" Id="rId27" Target="https://www.congress.gov/bill/117th-congress/house-resolution/177/actions" TargetMode="External" /><Relationship Type="http://schemas.openxmlformats.org/officeDocument/2006/relationships/hyperlink" Id="rId23" Target="https://www.congress.gov/bill/117th-congress/house-resolution/179/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1/roll050.xml" TargetMode="External" /><Relationship Type="http://schemas.openxmlformats.org/officeDocument/2006/relationships/hyperlink" Id="rId20" Target="http://clerk.house.gov/evs/2021/roll051.xml" TargetMode="External" /><Relationship Type="http://schemas.openxmlformats.org/officeDocument/2006/relationships/hyperlink" Id="rId25" Target="https://plus.cq.com/vote/2021/H/50?5" TargetMode="External" /><Relationship Type="http://schemas.openxmlformats.org/officeDocument/2006/relationships/hyperlink" Id="rId21" Target="https://plus.cq.com/vote/2021/H/51?3" TargetMode="External" /><Relationship Type="http://schemas.openxmlformats.org/officeDocument/2006/relationships/hyperlink" Id="rId22" Target="https://www.congress.gov/bill/117th-congress/house-bill/1/actions" TargetMode="External" /><Relationship Type="http://schemas.openxmlformats.org/officeDocument/2006/relationships/hyperlink" Id="rId27" Target="https://www.congress.gov/bill/117th-congress/house-resolution/177/actions" TargetMode="External" /><Relationship Type="http://schemas.openxmlformats.org/officeDocument/2006/relationships/hyperlink" Id="rId23" Target="https://www.congress.gov/bill/117th-congress/house-resolution/17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