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u.s.-capital"/>
    <w:p>
      <w:pPr>
        <w:pStyle w:val="Heading1"/>
      </w:pPr>
      <w:r>
        <w:t xml:space="preserve">U.S. Capital</w:t>
      </w:r>
    </w:p>
    <w:bookmarkStart w:id="24" w:name="freedom-foyer"/>
    <w:p>
      <w:pPr>
        <w:pStyle w:val="Heading3"/>
      </w:pPr>
      <w:r>
        <w:t xml:space="preserve">Freedom Foyer</w:t>
      </w:r>
    </w:p>
    <w:p>
      <w:pPr>
        <w:pStyle w:val="FirstParagraph"/>
      </w:pPr>
      <w:r>
        <w:rPr>
          <w:bCs/>
          <w:b/>
        </w:rPr>
        <w:t xml:space="preserve">2015: Schweikert Voted Against Renaming The Small House Rotunda As The</w:t>
      </w:r>
      <w:r>
        <w:rPr>
          <w:bCs/>
          <w:b/>
        </w:rPr>
        <w:t xml:space="preserve"> </w:t>
      </w:r>
      <w:r>
        <w:rPr>
          <w:bCs/>
          <w:b/>
        </w:rPr>
        <w:t xml:space="preserve">“</w:t>
      </w:r>
      <w:r>
        <w:rPr>
          <w:bCs/>
          <w:b/>
        </w:rPr>
        <w:t xml:space="preserve">Freedom Foyer</w:t>
      </w:r>
      <w:r>
        <w:rPr>
          <w:bCs/>
          <w:b/>
        </w:rPr>
        <w:t xml:space="preserve">”</w:t>
      </w:r>
      <w:r>
        <w:rPr>
          <w:bCs/>
          <w:b/>
        </w:rPr>
        <w:t xml:space="preserve"> </w:t>
      </w:r>
      <w:r>
        <w:rPr>
          <w:bCs/>
          <w:b/>
        </w:rPr>
        <w:t xml:space="preserve">As Part Of The Of The Bipartisan Budget Act Of 2015.</w:t>
      </w:r>
      <w:r>
        <w:t xml:space="preserve"> </w:t>
      </w:r>
      <w:r>
        <w:t xml:space="preserve">In October 2015, Schweikert voted against renaming the small House rotunda as the</w:t>
      </w:r>
      <w:r>
        <w:t xml:space="preserve"> </w:t>
      </w:r>
      <w:r>
        <w:t xml:space="preserve">“</w:t>
      </w:r>
      <w:r>
        <w:t xml:space="preserve">Freedom Foyer.</w:t>
      </w:r>
      <w:r>
        <w:t xml:space="preserve">”</w:t>
      </w:r>
      <w:r>
        <w:t xml:space="preserve"> </w:t>
      </w:r>
      <w:r>
        <w:t xml:space="preserve">According to Congressional Quarterly,</w:t>
      </w:r>
      <w:r>
        <w:t xml:space="preserve"> </w:t>
      </w:r>
      <w:r>
        <w:t xml:space="preserve">“</w:t>
      </w:r>
      <w:r>
        <w:t xml:space="preserve">The agreement designates the first floor of the area of the House of Representatives wing of the U.S. Capitol known as the small House rotunda as the "Freedom Foyer." Busts of Winston Churchill, Lajos Kossuth and Vaclav Havel are on display in the foyer.</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20">
        <w:r>
          <w:rPr>
            <w:rStyle w:val="Hyperlink"/>
          </w:rPr>
          <w:t xml:space="preserve">10/30/15</w:t>
        </w:r>
      </w:hyperlink>
      <w:r>
        <w:t xml:space="preserve">; Congressional Quarterly,</w:t>
      </w:r>
      <w:r>
        <w:t xml:space="preserve"> </w:t>
      </w:r>
      <w:hyperlink r:id="rId21">
        <w:r>
          <w:rPr>
            <w:rStyle w:val="Hyperlink"/>
          </w:rPr>
          <w:t xml:space="preserve">10/30/15</w:t>
        </w:r>
      </w:hyperlink>
      <w:r>
        <w:t xml:space="preserve">; Congressional Quarterly,</w:t>
      </w:r>
      <w:r>
        <w:t xml:space="preserve"> </w:t>
      </w:r>
      <w:hyperlink r:id="rId22">
        <w:r>
          <w:rPr>
            <w:rStyle w:val="Hyperlink"/>
          </w:rPr>
          <w:t xml:space="preserve">10/27/15</w:t>
        </w:r>
      </w:hyperlink>
      <w:r>
        <w:t xml:space="preserve">; Congressional Actions,</w:t>
      </w:r>
      <w:r>
        <w:t xml:space="preserve"> </w:t>
      </w:r>
      <w:hyperlink r:id="rId23">
        <w:r>
          <w:rPr>
            <w:rStyle w:val="Hyperlink"/>
          </w:rPr>
          <w:t xml:space="preserve">H.R. 1314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79.xml"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3" Target="https://www.congress.gov/bill/114th-congress/house-bill/131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79.xml"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3" Target="https://www.congress.gov/bill/114th-congress/house-bill/131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