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oncrete-masonry"/>
    <w:p>
      <w:pPr>
        <w:pStyle w:val="Heading1"/>
      </w:pPr>
      <w:r>
        <w:t xml:space="preserve">Concrete Masonry</w:t>
      </w:r>
    </w:p>
    <w:bookmarkStart w:id="23" w:name="government-promotion"/>
    <w:p>
      <w:pPr>
        <w:pStyle w:val="Heading3"/>
      </w:pPr>
      <w:r>
        <w:t xml:space="preserve">Government Promotion</w:t>
      </w:r>
    </w:p>
    <w:p>
      <w:pPr>
        <w:pStyle w:val="FirstParagraph"/>
      </w:pPr>
      <w:r>
        <w:rPr>
          <w:bCs/>
          <w:b/>
        </w:rPr>
        <w:t xml:space="preserve">2016: Schweikert Voted To Allow Concrete Masonry Producers Create A Coordinated Program With One Another, Overseen By The Commerce Department, To In Part Develop Markets For The Products.</w:t>
      </w:r>
      <w:r>
        <w:t xml:space="preserve"> </w:t>
      </w:r>
      <w:r>
        <w:t xml:space="preserve">In November 2016, Schweikert voted for legislation that would have, according to Congressional Quarterly,</w:t>
      </w:r>
      <w:r>
        <w:t xml:space="preserve"> </w:t>
      </w:r>
      <w:r>
        <w:t xml:space="preserve">“</w:t>
      </w:r>
      <w:r>
        <w:t xml:space="preserve">allow[ed] concrete masonry producers to establish a coordinated program of research, education and promotion to improve, maintain and develop markets for concrete masonry products, with the Commerce Department to oversee the board that would administer the program.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motion, thereby passing the bill, by a vote of 355 to 38. The Senate took no substantive action on the bill. [House Vote 575,</w:t>
      </w:r>
      <w:r>
        <w:t xml:space="preserve"> </w:t>
      </w:r>
      <w:hyperlink r:id="rId20">
        <w:r>
          <w:rPr>
            <w:rStyle w:val="Hyperlink"/>
          </w:rPr>
          <w:t xml:space="preserve">11/14/16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11/11/16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985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6/roll575.xml" TargetMode="External" /><Relationship Type="http://schemas.openxmlformats.org/officeDocument/2006/relationships/hyperlink" Id="rId21" Target="http://www.cq.com/doc/har-4986647/6?4" TargetMode="External" /><Relationship Type="http://schemas.openxmlformats.org/officeDocument/2006/relationships/hyperlink" Id="rId22" Target="https://www.congress.gov/bill/114th-congress/house-bill/98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6/roll575.xml" TargetMode="External" /><Relationship Type="http://schemas.openxmlformats.org/officeDocument/2006/relationships/hyperlink" Id="rId21" Target="http://www.cq.com/doc/har-4986647/6?4" TargetMode="External" /><Relationship Type="http://schemas.openxmlformats.org/officeDocument/2006/relationships/hyperlink" Id="rId22" Target="https://www.congress.gov/bill/114th-congress/house-bill/98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