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budget"/>
    <w:p>
      <w:pPr>
        <w:pStyle w:val="Heading1"/>
      </w:pPr>
      <w:r>
        <w:t xml:space="preserve">Budget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2013 Government Shutdown</w:t>
      </w:r>
    </w:p>
    <w:p>
      <w:pPr>
        <w:numPr>
          <w:ilvl w:val="0"/>
          <w:numId w:val="1001"/>
        </w:numPr>
        <w:pStyle w:val="Compact"/>
      </w:pPr>
      <w:r>
        <w:t xml:space="preserve">2013 Sequestration</w:t>
      </w:r>
    </w:p>
    <w:p>
      <w:pPr>
        <w:numPr>
          <w:ilvl w:val="0"/>
          <w:numId w:val="1001"/>
        </w:numPr>
        <w:pStyle w:val="Compact"/>
      </w:pPr>
      <w:r>
        <w:t xml:space="preserve">American Rescue Plan Of 2021</w:t>
      </w:r>
    </w:p>
    <w:p>
      <w:pPr>
        <w:numPr>
          <w:ilvl w:val="0"/>
          <w:numId w:val="1001"/>
        </w:numPr>
        <w:pStyle w:val="Compact"/>
      </w:pPr>
      <w:r>
        <w:t xml:space="preserve">Budget Policy</w:t>
      </w:r>
    </w:p>
    <w:p>
      <w:pPr>
        <w:numPr>
          <w:ilvl w:val="0"/>
          <w:numId w:val="1001"/>
        </w:numPr>
        <w:pStyle w:val="Compact"/>
      </w:pPr>
      <w:r>
        <w:t xml:space="preserve">Build Back Better Act</w:t>
      </w:r>
    </w:p>
    <w:p>
      <w:pPr>
        <w:numPr>
          <w:ilvl w:val="0"/>
          <w:numId w:val="1001"/>
        </w:numPr>
        <w:pStyle w:val="Compact"/>
      </w:pPr>
      <w:r>
        <w:t xml:space="preserve">Debt Limit</w:t>
      </w:r>
    </w:p>
    <w:p>
      <w:pPr>
        <w:numPr>
          <w:ilvl w:val="0"/>
          <w:numId w:val="1001"/>
        </w:numPr>
        <w:pStyle w:val="Compact"/>
      </w:pPr>
      <w:r>
        <w:t xml:space="preserve">FY 2013</w:t>
      </w:r>
    </w:p>
    <w:p>
      <w:pPr>
        <w:numPr>
          <w:ilvl w:val="0"/>
          <w:numId w:val="1001"/>
        </w:numPr>
        <w:pStyle w:val="Compact"/>
      </w:pPr>
      <w:r>
        <w:t xml:space="preserve">FY 2014</w:t>
      </w:r>
    </w:p>
    <w:p>
      <w:pPr>
        <w:numPr>
          <w:ilvl w:val="0"/>
          <w:numId w:val="1001"/>
        </w:numPr>
        <w:pStyle w:val="Compact"/>
      </w:pPr>
      <w:r>
        <w:t xml:space="preserve">FY 2015</w:t>
      </w:r>
    </w:p>
    <w:p>
      <w:pPr>
        <w:numPr>
          <w:ilvl w:val="0"/>
          <w:numId w:val="1001"/>
        </w:numPr>
        <w:pStyle w:val="Compact"/>
      </w:pPr>
      <w:r>
        <w:t xml:space="preserve">FY 2016</w:t>
      </w:r>
    </w:p>
    <w:p>
      <w:pPr>
        <w:numPr>
          <w:ilvl w:val="0"/>
          <w:numId w:val="1001"/>
        </w:numPr>
        <w:pStyle w:val="Compact"/>
      </w:pPr>
      <w:r>
        <w:t xml:space="preserve">FY 2017</w:t>
      </w:r>
    </w:p>
    <w:p>
      <w:pPr>
        <w:numPr>
          <w:ilvl w:val="0"/>
          <w:numId w:val="1001"/>
        </w:numPr>
        <w:pStyle w:val="Compact"/>
      </w:pPr>
      <w:r>
        <w:t xml:space="preserve">FY 2018</w:t>
      </w:r>
    </w:p>
    <w:p>
      <w:pPr>
        <w:numPr>
          <w:ilvl w:val="0"/>
          <w:numId w:val="1001"/>
        </w:numPr>
        <w:pStyle w:val="Compact"/>
      </w:pPr>
      <w:r>
        <w:t xml:space="preserve">FY 2019</w:t>
      </w:r>
    </w:p>
    <w:p>
      <w:pPr>
        <w:numPr>
          <w:ilvl w:val="0"/>
          <w:numId w:val="1001"/>
        </w:numPr>
        <w:pStyle w:val="Compact"/>
      </w:pPr>
      <w:r>
        <w:t xml:space="preserve">FY 2020</w:t>
      </w:r>
    </w:p>
    <w:p>
      <w:pPr>
        <w:numPr>
          <w:ilvl w:val="0"/>
          <w:numId w:val="1001"/>
        </w:numPr>
        <w:pStyle w:val="Compact"/>
      </w:pPr>
      <w:r>
        <w:t xml:space="preserve">FY 2021</w:t>
      </w:r>
    </w:p>
    <w:p>
      <w:pPr>
        <w:numPr>
          <w:ilvl w:val="0"/>
          <w:numId w:val="1001"/>
        </w:numPr>
        <w:pStyle w:val="Compact"/>
      </w:pPr>
      <w:r>
        <w:t xml:space="preserve">FY 2022</w:t>
      </w:r>
    </w:p>
    <w:p>
      <w:pPr>
        <w:numPr>
          <w:ilvl w:val="0"/>
          <w:numId w:val="1001"/>
        </w:numPr>
        <w:pStyle w:val="Compact"/>
      </w:pPr>
      <w:r>
        <w:t xml:space="preserve">FY 2023</w:t>
      </w:r>
    </w:p>
    <w:p>
      <w:pPr>
        <w:numPr>
          <w:ilvl w:val="0"/>
          <w:numId w:val="1001"/>
        </w:numPr>
        <w:pStyle w:val="Compact"/>
      </w:pPr>
      <w:r>
        <w:t xml:space="preserve">FY 2024</w:t>
      </w:r>
    </w:p>
    <w:p>
      <w:pPr>
        <w:numPr>
          <w:ilvl w:val="0"/>
          <w:numId w:val="1001"/>
        </w:numPr>
        <w:pStyle w:val="Compact"/>
      </w:pPr>
      <w:r>
        <w:t xml:space="preserve">FY 2025</w:t>
      </w:r>
    </w:p>
    <w:p>
      <w:pPr>
        <w:numPr>
          <w:ilvl w:val="0"/>
          <w:numId w:val="1001"/>
        </w:numPr>
        <w:pStyle w:val="Compact"/>
      </w:pPr>
      <w:r>
        <w:t xml:space="preserve">Inflation</w:t>
      </w:r>
    </w:p>
    <w:p>
      <w:pPr>
        <w:numPr>
          <w:ilvl w:val="0"/>
          <w:numId w:val="1001"/>
        </w:numPr>
        <w:pStyle w:val="Compact"/>
      </w:pPr>
      <w:r>
        <w:t xml:space="preserve">Paul Ryan Budget</w:t>
      </w:r>
    </w:p>
    <w:p>
      <w:pPr>
        <w:numPr>
          <w:ilvl w:val="0"/>
          <w:numId w:val="1001"/>
        </w:numPr>
        <w:pStyle w:val="Compact"/>
      </w:pPr>
      <w:r>
        <w:t xml:space="preserve">Republican Study Committee Budget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2026-01-27T02:09:25Z</dcterms:created>
  <dcterms:modified xsi:type="dcterms:W3CDTF">2026-01-27T02:09:25Z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