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loans"/>
    <w:p>
      <w:pPr>
        <w:pStyle w:val="Heading1"/>
      </w:pPr>
      <w:r>
        <w:t xml:space="preserve">Loans</w:t>
      </w:r>
    </w:p>
    <w:bookmarkStart w:id="23" w:name="lgbtq-owned-business-loan-data"/>
    <w:p>
      <w:pPr>
        <w:pStyle w:val="Heading3"/>
      </w:pPr>
      <w:r>
        <w:t xml:space="preserve">LGBTQ-Owned Business Loan Data</w:t>
      </w:r>
    </w:p>
    <w:p>
      <w:pPr>
        <w:pStyle w:val="FirstParagraph"/>
      </w:pPr>
      <w:r>
        <w:rPr>
          <w:bCs/>
          <w:b/>
        </w:rPr>
        <w:t xml:space="preserve">2021: Schweikert Voted Against Requiring Financial Institutions To Collect Data Regarding Loan Applications By LGBTQ-Owned Small Businesses, Which Would Facilitate Fair Lending Laws And Identify Needs And Opportunities For LGBTQ-Owned Businesses.</w:t>
      </w:r>
      <w:r>
        <w:t xml:space="preserve"> </w:t>
      </w:r>
      <w:r>
        <w:t xml:space="preserve">In June 2021, Schweikert voted against the LGBTQ Business Equal Credit Enforcement and Investment Act which would, according to Congressional Quarterly,</w:t>
      </w:r>
      <w:r>
        <w:t xml:space="preserve"> </w:t>
      </w:r>
      <w:r>
        <w:t xml:space="preserve">“</w:t>
      </w:r>
      <w:r>
        <w:t xml:space="preserve">require financial institutions to solicit and maintain data regarding small business loan applications by LGBTQ-owned businesses, for the purpose of facilitating enforcement of fair lending laws and enabling communities, government entities and creditors to identify the needs of and opportunities for such businesses.</w:t>
      </w:r>
      <w:r>
        <w:t xml:space="preserve">”</w:t>
      </w:r>
      <w:r>
        <w:t xml:space="preserve"> </w:t>
      </w:r>
      <w:r>
        <w:t xml:space="preserve">The vote was on passage. The House failed to pass the bill by a vote of 248-177, failing to meet 2/3 of a vote, but passed the bill on June 24, 2021 by a vote of 252-176. [House Vote 162,</w:t>
      </w:r>
      <w:r>
        <w:t xml:space="preserve"> </w:t>
      </w:r>
      <w:hyperlink r:id="rId20">
        <w:r>
          <w:rPr>
            <w:rStyle w:val="Hyperlink"/>
          </w:rPr>
          <w:t xml:space="preserve">6/15/21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6/15/21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1443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62.xml" TargetMode="External" /><Relationship Type="http://schemas.openxmlformats.org/officeDocument/2006/relationships/hyperlink" Id="rId21" Target="https://plus.cq.com/vote/2021/H/162?7" TargetMode="External" /><Relationship Type="http://schemas.openxmlformats.org/officeDocument/2006/relationships/hyperlink" Id="rId22" Target="https://www.congress.gov/bill/117th-congress/house-bill/144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62.xml" TargetMode="External" /><Relationship Type="http://schemas.openxmlformats.org/officeDocument/2006/relationships/hyperlink" Id="rId21" Target="https://plus.cq.com/vote/2021/H/162?7" TargetMode="External" /><Relationship Type="http://schemas.openxmlformats.org/officeDocument/2006/relationships/hyperlink" Id="rId22" Target="https://www.congress.gov/bill/117th-congress/house-bill/144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2026-01-27T02:09:44Z</dcterms:created>
  <dcterms:modified xsi:type="dcterms:W3CDTF">2026-01-27T02:09:44Z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