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currency"/>
    <w:p>
      <w:pPr>
        <w:pStyle w:val="Heading1"/>
      </w:pPr>
      <w:r>
        <w:t xml:space="preserve">Currency</w:t>
      </w:r>
    </w:p>
    <w:bookmarkStart w:id="23" w:name="coin-metal-modifications"/>
    <w:p>
      <w:pPr>
        <w:pStyle w:val="Heading3"/>
      </w:pPr>
      <w:r>
        <w:t xml:space="preserve">Coin Metal Modifications</w:t>
      </w:r>
    </w:p>
    <w:p>
      <w:pPr>
        <w:pStyle w:val="FirstParagraph"/>
      </w:pPr>
      <w:r>
        <w:rPr>
          <w:bCs/>
          <w:b/>
        </w:rPr>
        <w:t xml:space="preserve">2020: Schweikert Voted For The Coin Metal Modification Authorization And Costs Savings Act Of 2020 To Permit The U.S. Mint To Modify The Composition Of Circulating Coins If The Modification Will Reduce Taxpayer Costs.</w:t>
      </w:r>
      <w:r>
        <w:t xml:space="preserve"> </w:t>
      </w:r>
      <w:r>
        <w:t xml:space="preserve">In December 2020, Schweikert voted for suspending the rules and pass the Coin Metal Modification Authorization and Cost Savings Act of 2020 which would, according to Congressional Quarterly,</w:t>
      </w:r>
      <w:r>
        <w:t xml:space="preserve"> </w:t>
      </w:r>
      <w:r>
        <w:t xml:space="preserve">“</w:t>
      </w:r>
      <w:r>
        <w:t xml:space="preserve">authorize the U.S. Mint to modify the metallic composition of circulating coins if a study indicates that the modification will reduce taxpayer costs; will not change the size, weight or compatibility with most coin acceptors of current coinage; and will have minimal impacts on the public and stakeholders. It would require the Mint to notify Congress 90 days prior to making a modification and halt the modification if Congress finds that it is unjustified and enacts disapproving legislation.</w:t>
      </w:r>
      <w:r>
        <w:t xml:space="preserve">”</w:t>
      </w:r>
      <w:r>
        <w:t xml:space="preserve"> </w:t>
      </w:r>
      <w:r>
        <w:t xml:space="preserve">The vote was on a motion to suspend the rules and pass the bill. The House agreed to the motion by a vote of 343-41. [House Vote 228,</w:t>
      </w:r>
      <w:r>
        <w:t xml:space="preserve"> </w:t>
      </w:r>
      <w:hyperlink r:id="rId20">
        <w:r>
          <w:rPr>
            <w:rStyle w:val="Hyperlink"/>
          </w:rPr>
          <w:t xml:space="preserve">12/2/20</w:t>
        </w:r>
      </w:hyperlink>
      <w:r>
        <w:t xml:space="preserve">; Congressional Quarterly,</w:t>
      </w:r>
      <w:r>
        <w:t xml:space="preserve"> </w:t>
      </w:r>
      <w:hyperlink r:id="rId21">
        <w:r>
          <w:rPr>
            <w:rStyle w:val="Hyperlink"/>
          </w:rPr>
          <w:t xml:space="preserve">12/2/20</w:t>
        </w:r>
      </w:hyperlink>
      <w:r>
        <w:t xml:space="preserve">; Congressional Actions,</w:t>
      </w:r>
      <w:r>
        <w:t xml:space="preserve"> </w:t>
      </w:r>
      <w:hyperlink r:id="rId22">
        <w:r>
          <w:rPr>
            <w:rStyle w:val="Hyperlink"/>
          </w:rPr>
          <w:t xml:space="preserve">HR 7995</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0/roll228.xml" TargetMode="External" /><Relationship Type="http://schemas.openxmlformats.org/officeDocument/2006/relationships/hyperlink" Id="rId21" Target="https://plus.cq.com/vote/2020/H/228?4" TargetMode="External" /><Relationship Type="http://schemas.openxmlformats.org/officeDocument/2006/relationships/hyperlink" Id="rId22" Target="https://www.congress.gov/bill/116th-congress/house-bill/7995/actions?q=%7b%22search%22%3A%5B%22hr+7995%22%5D%7d&amp;r=1&amp;s=1&amp;r=1"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0/roll228.xml" TargetMode="External" /><Relationship Type="http://schemas.openxmlformats.org/officeDocument/2006/relationships/hyperlink" Id="rId21" Target="https://plus.cq.com/vote/2020/H/228?4" TargetMode="External" /><Relationship Type="http://schemas.openxmlformats.org/officeDocument/2006/relationships/hyperlink" Id="rId22" Target="https://www.congress.gov/bill/116th-congress/house-bill/7995/actions?q=%7b%22search%22%3A%5B%22hr+7995%22%5D%7d&amp;r=1&amp;s=1&amp;r=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2026-01-27T02:09:44Z</dcterms:created>
  <dcterms:modified xsi:type="dcterms:W3CDTF">2026-01-27T02:09:44Z</dcterms:modified>
</cp:coreProperties>
</file>

<file path=docProps/custom.xml><?xml version="1.0" encoding="utf-8"?>
<Properties xmlns="http://schemas.openxmlformats.org/officeDocument/2006/custom-properties" xmlns:vt="http://schemas.openxmlformats.org/officeDocument/2006/docPropsVTypes"/>
</file>