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banking-and-finance"/>
    <w:p>
      <w:pPr>
        <w:pStyle w:val="Heading1"/>
      </w:pPr>
      <w:r>
        <w:t xml:space="preserve">Banking And Finance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America COMPETES Act</w:t>
      </w:r>
    </w:p>
    <w:p>
      <w:pPr>
        <w:numPr>
          <w:ilvl w:val="0"/>
          <w:numId w:val="1001"/>
        </w:numPr>
        <w:pStyle w:val="Compact"/>
      </w:pPr>
      <w:r>
        <w:t xml:space="preserve">Bad Actors</w:t>
      </w:r>
    </w:p>
    <w:p>
      <w:pPr>
        <w:numPr>
          <w:ilvl w:val="0"/>
          <w:numId w:val="1001"/>
        </w:numPr>
        <w:pStyle w:val="Compact"/>
      </w:pPr>
      <w:r>
        <w:t xml:space="preserve">Banking Protections</w:t>
      </w:r>
    </w:p>
    <w:p>
      <w:pPr>
        <w:numPr>
          <w:ilvl w:val="0"/>
          <w:numId w:val="1001"/>
        </w:numPr>
        <w:pStyle w:val="Compact"/>
      </w:pPr>
      <w:r>
        <w:t xml:space="preserve">Banking Regulations, Generally</w:t>
      </w:r>
    </w:p>
    <w:p>
      <w:pPr>
        <w:numPr>
          <w:ilvl w:val="0"/>
          <w:numId w:val="1001"/>
        </w:numPr>
        <w:pStyle w:val="Compact"/>
      </w:pPr>
      <w:r>
        <w:t xml:space="preserve">Commodity Futures Trading Commission</w:t>
      </w:r>
    </w:p>
    <w:p>
      <w:pPr>
        <w:numPr>
          <w:ilvl w:val="0"/>
          <w:numId w:val="1001"/>
        </w:numPr>
        <w:pStyle w:val="Compact"/>
      </w:pPr>
      <w:r>
        <w:t xml:space="preserve">Community Banking</w:t>
      </w:r>
    </w:p>
    <w:p>
      <w:pPr>
        <w:numPr>
          <w:ilvl w:val="0"/>
          <w:numId w:val="1001"/>
        </w:numPr>
        <w:pStyle w:val="Compact"/>
      </w:pPr>
      <w:r>
        <w:t xml:space="preserve">Credit Default Swaps</w:t>
      </w:r>
    </w:p>
    <w:p>
      <w:pPr>
        <w:numPr>
          <w:ilvl w:val="0"/>
          <w:numId w:val="1001"/>
        </w:numPr>
        <w:pStyle w:val="Compact"/>
      </w:pPr>
      <w:r>
        <w:t xml:space="preserve">Credit Rating</w:t>
      </w:r>
    </w:p>
    <w:p>
      <w:pPr>
        <w:numPr>
          <w:ilvl w:val="0"/>
          <w:numId w:val="1001"/>
        </w:numPr>
        <w:pStyle w:val="Compact"/>
      </w:pPr>
      <w:r>
        <w:t xml:space="preserve">Credit Reporting Agencies</w:t>
      </w:r>
    </w:p>
    <w:p>
      <w:pPr>
        <w:numPr>
          <w:ilvl w:val="0"/>
          <w:numId w:val="1001"/>
        </w:numPr>
        <w:pStyle w:val="Compact"/>
      </w:pPr>
      <w:r>
        <w:t xml:space="preserve">Currency</w:t>
      </w:r>
    </w:p>
    <w:p>
      <w:pPr>
        <w:numPr>
          <w:ilvl w:val="0"/>
          <w:numId w:val="1001"/>
        </w:numPr>
        <w:pStyle w:val="Compact"/>
      </w:pPr>
      <w:r>
        <w:t xml:space="preserve">Department Of Commerce</w:t>
      </w:r>
    </w:p>
    <w:p>
      <w:pPr>
        <w:numPr>
          <w:ilvl w:val="0"/>
          <w:numId w:val="1001"/>
        </w:numPr>
        <w:pStyle w:val="Compact"/>
      </w:pPr>
      <w:r>
        <w:t xml:space="preserve">Department Of The Treasury</w:t>
      </w:r>
    </w:p>
    <w:p>
      <w:pPr>
        <w:numPr>
          <w:ilvl w:val="0"/>
          <w:numId w:val="1001"/>
        </w:numPr>
        <w:pStyle w:val="Compact"/>
      </w:pPr>
      <w:r>
        <w:t xml:space="preserve">Department Of Treasury</w:t>
      </w:r>
    </w:p>
    <w:p>
      <w:pPr>
        <w:numPr>
          <w:ilvl w:val="0"/>
          <w:numId w:val="1001"/>
        </w:numPr>
        <w:pStyle w:val="Compact"/>
      </w:pPr>
      <w:r>
        <w:t xml:space="preserve">Derivatives</w:t>
      </w:r>
    </w:p>
    <w:p>
      <w:pPr>
        <w:numPr>
          <w:ilvl w:val="0"/>
          <w:numId w:val="1001"/>
        </w:numPr>
        <w:pStyle w:val="Compact"/>
      </w:pPr>
      <w:r>
        <w:t xml:space="preserve">Dodd-Frank</w:t>
      </w:r>
    </w:p>
    <w:p>
      <w:pPr>
        <w:numPr>
          <w:ilvl w:val="0"/>
          <w:numId w:val="1001"/>
        </w:numPr>
        <w:pStyle w:val="Compact"/>
      </w:pPr>
      <w:r>
        <w:t xml:space="preserve">Emerging Growth Companies</w:t>
      </w:r>
    </w:p>
    <w:p>
      <w:pPr>
        <w:numPr>
          <w:ilvl w:val="0"/>
          <w:numId w:val="1001"/>
        </w:numPr>
        <w:pStyle w:val="Compact"/>
      </w:pPr>
      <w:r>
        <w:t xml:space="preserve">Environmental, Social And Governance Factors</w:t>
      </w:r>
    </w:p>
    <w:p>
      <w:pPr>
        <w:numPr>
          <w:ilvl w:val="0"/>
          <w:numId w:val="1001"/>
        </w:numPr>
        <w:pStyle w:val="Compact"/>
      </w:pPr>
      <w:r>
        <w:t xml:space="preserve">Federal Reserve</w:t>
      </w:r>
    </w:p>
    <w:p>
      <w:pPr>
        <w:numPr>
          <w:ilvl w:val="0"/>
          <w:numId w:val="1001"/>
        </w:numPr>
        <w:pStyle w:val="Compact"/>
      </w:pPr>
      <w:r>
        <w:t xml:space="preserve">Fiduciary Rule</w:t>
      </w:r>
    </w:p>
    <w:p>
      <w:pPr>
        <w:numPr>
          <w:ilvl w:val="0"/>
          <w:numId w:val="1001"/>
        </w:numPr>
        <w:pStyle w:val="Compact"/>
      </w:pPr>
      <w:r>
        <w:t xml:space="preserve">Financial Oversight</w:t>
      </w:r>
    </w:p>
    <w:p>
      <w:pPr>
        <w:numPr>
          <w:ilvl w:val="0"/>
          <w:numId w:val="1001"/>
        </w:numPr>
        <w:pStyle w:val="Compact"/>
      </w:pPr>
      <w:r>
        <w:t xml:space="preserve">Financial Services Equity</w:t>
      </w:r>
    </w:p>
    <w:p>
      <w:pPr>
        <w:numPr>
          <w:ilvl w:val="0"/>
          <w:numId w:val="1001"/>
        </w:numPr>
        <w:pStyle w:val="Compact"/>
      </w:pPr>
      <w:r>
        <w:t xml:space="preserve">Financial Stability Oversight Council</w:t>
      </w:r>
    </w:p>
    <w:p>
      <w:pPr>
        <w:numPr>
          <w:ilvl w:val="0"/>
          <w:numId w:val="1001"/>
        </w:numPr>
        <w:pStyle w:val="Compact"/>
      </w:pPr>
      <w:r>
        <w:t xml:space="preserve">Hiring Practices</w:t>
      </w:r>
    </w:p>
    <w:p>
      <w:pPr>
        <w:numPr>
          <w:ilvl w:val="0"/>
          <w:numId w:val="1001"/>
        </w:numPr>
        <w:pStyle w:val="Compact"/>
      </w:pPr>
      <w:r>
        <w:t xml:space="preserve">Investments</w:t>
      </w:r>
    </w:p>
    <w:p>
      <w:pPr>
        <w:numPr>
          <w:ilvl w:val="0"/>
          <w:numId w:val="1001"/>
        </w:numPr>
        <w:pStyle w:val="Compact"/>
      </w:pPr>
      <w:r>
        <w:t xml:space="preserve">Loans</w:t>
      </w:r>
    </w:p>
    <w:p>
      <w:pPr>
        <w:numPr>
          <w:ilvl w:val="0"/>
          <w:numId w:val="1001"/>
        </w:numPr>
        <w:pStyle w:val="Compact"/>
      </w:pPr>
      <w:r>
        <w:t xml:space="preserve">Operation Chokepoint</w:t>
      </w:r>
    </w:p>
    <w:p>
      <w:pPr>
        <w:numPr>
          <w:ilvl w:val="0"/>
          <w:numId w:val="1001"/>
        </w:numPr>
        <w:pStyle w:val="Compact"/>
      </w:pPr>
      <w:r>
        <w:t xml:space="preserve">Qualified Mortgages</w:t>
      </w:r>
    </w:p>
    <w:p>
      <w:pPr>
        <w:numPr>
          <w:ilvl w:val="0"/>
          <w:numId w:val="1001"/>
        </w:numPr>
        <w:pStyle w:val="Compact"/>
      </w:pPr>
      <w:r>
        <w:t xml:space="preserve">Regulations</w:t>
      </w:r>
    </w:p>
    <w:p>
      <w:pPr>
        <w:numPr>
          <w:ilvl w:val="0"/>
          <w:numId w:val="1001"/>
        </w:numPr>
        <w:pStyle w:val="Compact"/>
      </w:pPr>
      <w:r>
        <w:t xml:space="preserve">Retirement Plans</w:t>
      </w:r>
    </w:p>
    <w:p>
      <w:pPr>
        <w:numPr>
          <w:ilvl w:val="0"/>
          <w:numId w:val="1001"/>
        </w:numPr>
        <w:pStyle w:val="Compact"/>
      </w:pPr>
      <w:r>
        <w:t xml:space="preserve">Securities</w:t>
      </w:r>
    </w:p>
    <w:p>
      <w:pPr>
        <w:numPr>
          <w:ilvl w:val="0"/>
          <w:numId w:val="1001"/>
        </w:numPr>
        <w:pStyle w:val="Compact"/>
      </w:pPr>
      <w:r>
        <w:t xml:space="preserve">Securities And Exchange Commission</w:t>
      </w:r>
    </w:p>
    <w:p>
      <w:pPr>
        <w:numPr>
          <w:ilvl w:val="0"/>
          <w:numId w:val="1001"/>
        </w:numPr>
        <w:pStyle w:val="Compact"/>
      </w:pPr>
      <w:r>
        <w:t xml:space="preserve">Securities And Exchange Commission (SEC)</w:t>
      </w:r>
    </w:p>
    <w:p>
      <w:pPr>
        <w:numPr>
          <w:ilvl w:val="0"/>
          <w:numId w:val="1001"/>
        </w:numPr>
        <w:pStyle w:val="Compact"/>
      </w:pPr>
      <w:r>
        <w:t xml:space="preserve">Small Banks</w:t>
      </w:r>
    </w:p>
    <w:p>
      <w:pPr>
        <w:numPr>
          <w:ilvl w:val="0"/>
          <w:numId w:val="1001"/>
        </w:numPr>
        <w:pStyle w:val="Compact"/>
      </w:pPr>
      <w:r>
        <w:t xml:space="preserve">Swap Trading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2026-01-27T02:09:27Z</dcterms:created>
  <dcterms:modified xsi:type="dcterms:W3CDTF">2026-01-27T02:09:27Z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