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rural-development"/>
    <w:p>
      <w:pPr>
        <w:pStyle w:val="Heading1"/>
      </w:pPr>
      <w:r>
        <w:t xml:space="preserve">Rural Development</w:t>
      </w:r>
    </w:p>
    <w:p>
      <w:pPr>
        <w:pStyle w:val="FirstParagraph"/>
      </w:pPr>
      <w:r>
        <w:rPr>
          <w:bCs/>
          <w:b/>
        </w:rPr>
        <w:t xml:space="preserve">2019: Schweikert Voted Against The FY 2020 Minibus Appropriations Bill, Which Provided $3.2 Billion In Discretionary Funding For USDA Rural Development Programs.</w:t>
      </w:r>
      <w:r>
        <w:t xml:space="preserve"> </w:t>
      </w:r>
      <w:r>
        <w:t xml:space="preserve">In December 2019, Schweikert voted against the FY 2020 minibus spending bill, which represented 8 of the 12 appropriations bills. According to Congressional Quarterly, the bill</w:t>
      </w:r>
      <w:r>
        <w:t xml:space="preserve"> </w:t>
      </w:r>
      <w:r>
        <w:t xml:space="preserve">“</w:t>
      </w:r>
      <w:r>
        <w:t xml:space="preserve">provides $3.2 billion for USDA Rural Development programs, including $2.1 billion for rural housing (4% more than FY 2019), $764 million for rural utilities and telecommunication (20% more), and $109 million for rural business development (6% more). Those funds would support more than $38 billion in grants, subsidized loans, and unsubsidized loans — including $24 billion for housing, $1.4 billion for rural water and waste programs, and $1.1 billion for rural businesses, as well as $87 million for various rural broadband grant and loan programs.</w:t>
      </w:r>
      <w:r>
        <w:t xml:space="preserve">”</w:t>
      </w:r>
      <w:r>
        <w:t xml:space="preserve"> </w:t>
      </w:r>
      <w:r>
        <w:t xml:space="preserve">The vote was a motion to concur in the Senate amendment. The House agreed to the motion by a vote of 297-120. The Senate later passed the bill and the President signed the 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2026-01-27T02:09:41Z</dcterms:created>
  <dcterms:modified xsi:type="dcterms:W3CDTF">2026-01-27T02:09:41Z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