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horses"/>
    <w:p>
      <w:pPr>
        <w:pStyle w:val="Heading1"/>
      </w:pPr>
      <w:r>
        <w:t xml:space="preserve">Horses</w:t>
      </w:r>
    </w:p>
    <w:bookmarkStart w:id="23" w:name="horse-soring-prevention"/>
    <w:p>
      <w:pPr>
        <w:pStyle w:val="Heading3"/>
      </w:pPr>
      <w:r>
        <w:t xml:space="preserve">Horse Soring Prevention</w:t>
      </w:r>
    </w:p>
    <w:p>
      <w:pPr>
        <w:pStyle w:val="FirstParagraph"/>
      </w:pPr>
      <w:r>
        <w:rPr>
          <w:bCs/>
          <w:b/>
        </w:rPr>
        <w:t xml:space="preserve">2022: Schweikert Voted To Strengthen Regulations And Penalties Regarding</w:t>
      </w:r>
      <w:r>
        <w:rPr>
          <w:bCs/>
          <w:b/>
        </w:rPr>
        <w:t xml:space="preserve"> </w:t>
      </w:r>
      <w:r>
        <w:rPr>
          <w:bCs/>
          <w:b/>
        </w:rPr>
        <w:t xml:space="preserve">“</w:t>
      </w:r>
      <w:r>
        <w:rPr>
          <w:bCs/>
          <w:b/>
        </w:rPr>
        <w:t xml:space="preserve">Horse Soring</w:t>
      </w:r>
      <w:r>
        <w:rPr>
          <w:bCs/>
          <w:b/>
        </w:rPr>
        <w:t xml:space="preserve">”</w:t>
      </w:r>
      <w:r>
        <w:rPr>
          <w:bCs/>
          <w:b/>
        </w:rPr>
        <w:t xml:space="preserve"> </w:t>
      </w:r>
      <w:r>
        <w:rPr>
          <w:bCs/>
          <w:b/>
        </w:rPr>
        <w:t xml:space="preserve">Practices By Imposing A New Process To License Individuals To Detect Horse Soring At Horse Shows Or Sales, Prohibiting The Use Of Certain Devices For Horse Soring, And Barring Sored Horses From Being Exhibited For At Least 180 Days.</w:t>
      </w:r>
      <w:r>
        <w:t xml:space="preserve"> </w:t>
      </w:r>
      <w:r>
        <w:t xml:space="preserve">In November 2022, according to Congressional Quarterly, Schweikert voted for with the Prevent All Soring Tactics Act of 2022, which would</w:t>
      </w:r>
      <w:r>
        <w:t xml:space="preserve"> </w:t>
      </w:r>
      <w:r>
        <w:t xml:space="preserve">“</w:t>
      </w:r>
      <w:r>
        <w:t xml:space="preserve">strengthen federal regulation of and penalties for</w:t>
      </w:r>
      <w:r>
        <w:t xml:space="preserve"> </w:t>
      </w:r>
      <w:r>
        <w:t xml:space="preserve">‘</w:t>
      </w:r>
      <w:r>
        <w:t xml:space="preserve">horse soring</w:t>
      </w:r>
      <w:r>
        <w:t xml:space="preserve">’</w:t>
      </w:r>
      <w:r>
        <w:t xml:space="preserve"> </w:t>
      </w:r>
      <w:r>
        <w:t xml:space="preserve">practices, which are primarily used to accentuate a horse's gait and may include the use of chemicals, pressure and devices that cause pain to horses' front legs or hooves. Specifically; it would require the Agriculture Department to create a new process to license individuals to detect and diagnose horse soring at horse shows, sales and other events - replacing the industry's current self-regulatory practices. It would prohibit the use of certain devices and materials used for horse soring and allow the department to bar sored horses from being shown or exhibited for at least 180 days for a first offense, at least one year for a second offense and at least three years for a third offense. It would also increase from $3,000 to $5,000 the maximum fine and increase from one year to three years the maximum prison sentence for violations of the 1970 Horse Protection Act.</w:t>
      </w:r>
      <w:r>
        <w:t xml:space="preserve">”</w:t>
      </w:r>
      <w:r>
        <w:t xml:space="preserve"> </w:t>
      </w:r>
      <w:r>
        <w:t xml:space="preserve">The vote was on passage. The House passed the bill by a vote of 304-111. The Senate did not take substantive action on the bill. [House Vote 478,</w:t>
      </w:r>
      <w:r>
        <w:t xml:space="preserve"> </w:t>
      </w:r>
      <w:hyperlink r:id="rId20">
        <w:r>
          <w:rPr>
            <w:rStyle w:val="Hyperlink"/>
          </w:rPr>
          <w:t xml:space="preserve">11/14/22</w:t>
        </w:r>
      </w:hyperlink>
      <w:r>
        <w:t xml:space="preserve">; Congressional Quarterly,</w:t>
      </w:r>
      <w:r>
        <w:t xml:space="preserve"> </w:t>
      </w:r>
      <w:hyperlink r:id="rId21">
        <w:r>
          <w:rPr>
            <w:rStyle w:val="Hyperlink"/>
          </w:rPr>
          <w:t xml:space="preserve">11/14/22</w:t>
        </w:r>
      </w:hyperlink>
      <w:r>
        <w:t xml:space="preserve">; Congressional Actions,</w:t>
      </w:r>
      <w:r>
        <w:t xml:space="preserve"> </w:t>
      </w:r>
      <w:hyperlink r:id="rId22">
        <w:r>
          <w:rPr>
            <w:rStyle w:val="Hyperlink"/>
          </w:rPr>
          <w:t xml:space="preserve">H.R. 5441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78.xml" TargetMode="External" /><Relationship Type="http://schemas.openxmlformats.org/officeDocument/2006/relationships/hyperlink" Id="rId21" Target="https://plus.cq.com/vote/2022/H/478?8" TargetMode="External" /><Relationship Type="http://schemas.openxmlformats.org/officeDocument/2006/relationships/hyperlink" Id="rId22" Target="https://www.congress.gov/bill/117th-congress/house-bill/544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78.xml" TargetMode="External" /><Relationship Type="http://schemas.openxmlformats.org/officeDocument/2006/relationships/hyperlink" Id="rId21" Target="https://plus.cq.com/vote/2022/H/478?8" TargetMode="External" /><Relationship Type="http://schemas.openxmlformats.org/officeDocument/2006/relationships/hyperlink" Id="rId22" Target="https://www.congress.gov/bill/117th-congress/house-bill/544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