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genetically-modified-organisms"/>
    <w:p>
      <w:pPr>
        <w:pStyle w:val="Heading1"/>
      </w:pPr>
      <w:r>
        <w:t xml:space="preserve">Genetically Modified Organisms</w:t>
      </w:r>
    </w:p>
    <w:bookmarkStart w:id="23" w:name="food-labeling"/>
    <w:p>
      <w:pPr>
        <w:pStyle w:val="Heading3"/>
      </w:pPr>
      <w:r>
        <w:t xml:space="preserve">Food Labeling</w:t>
      </w:r>
    </w:p>
    <w:p>
      <w:pPr>
        <w:pStyle w:val="FirstParagraph"/>
      </w:pPr>
      <w:r>
        <w:rPr>
          <w:bCs/>
          <w:b/>
        </w:rPr>
        <w:t xml:space="preserve">2016: Schweikert Voted To Require Food Labels Disclosing The Presence Of Genetically Modified Food; Legislation Would Pre-empt Any State Law And Would Allow The Label To Be Displayed As An Electronic Bar Code.</w:t>
      </w:r>
      <w:r>
        <w:t xml:space="preserve"> </w:t>
      </w:r>
      <w:r>
        <w:t xml:space="preserve">In July 2016, Schweikert voted for a bill requiring the disclosure of the presence of genetically modified food. According to Congressional Quarterly, the legislation would have</w:t>
      </w:r>
      <w:r>
        <w:t xml:space="preserve"> </w:t>
      </w:r>
      <w:r>
        <w:t xml:space="preserve">“</w:t>
      </w:r>
      <w:r>
        <w:t xml:space="preserve">require[d] the Department of Agriculture to establish a national mandatory disclosure standard for genetically modified food within two years of the bill’s enactment. It also would [have] pre-empt[ed] state requirements related to labeling genetically modified food and states would [have] be[en] prohibited from establishing disclosure standards that differ from the national standards. Companies could opt to provide disclosure through a symbol or by electronic bar codes that consumers could scan with their smart phones. Food served in restaurants and</w:t>
      </w:r>
      <w:r>
        <w:t xml:space="preserve"> </w:t>
      </w:r>
      <w:r>
        <w:t xml:space="preserve">‘</w:t>
      </w:r>
      <w:r>
        <w:t xml:space="preserve">very small food manufacturers</w:t>
      </w:r>
      <w:r>
        <w:t xml:space="preserve">’</w:t>
      </w:r>
      <w:r>
        <w:t xml:space="preserve"> </w:t>
      </w:r>
      <w:r>
        <w:t xml:space="preserve">would be excluded from the standards.</w:t>
      </w:r>
      <w:r>
        <w:t xml:space="preserve">”</w:t>
      </w:r>
      <w:r>
        <w:t xml:space="preserve"> </w:t>
      </w:r>
      <w:r>
        <w:t xml:space="preserve">The vote was on a motion to concur in the Senate amendment to the House amendment to the bill. The House agreed to the motion by a vote of 306 to 117. Since the Senate had already agreed to the legislation, the bill went to the president, who signed it into law. [House Vote 466,</w:t>
      </w:r>
      <w:r>
        <w:t xml:space="preserve"> </w:t>
      </w:r>
      <w:hyperlink r:id="rId20">
        <w:r>
          <w:rPr>
            <w:rStyle w:val="Hyperlink"/>
          </w:rPr>
          <w:t xml:space="preserve">7/14/16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7/7/16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S. 764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6/roll466.xml" TargetMode="External" /><Relationship Type="http://schemas.openxmlformats.org/officeDocument/2006/relationships/hyperlink" Id="rId21" Target="http://cq.com/vote/2016/S/123?37" TargetMode="External" /><Relationship Type="http://schemas.openxmlformats.org/officeDocument/2006/relationships/hyperlink" Id="rId22" Target="https://www.congress.gov/bill/114th-congress/senate-bill/764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6/roll466.xml" TargetMode="External" /><Relationship Type="http://schemas.openxmlformats.org/officeDocument/2006/relationships/hyperlink" Id="rId21" Target="http://cq.com/vote/2016/S/123?37" TargetMode="External" /><Relationship Type="http://schemas.openxmlformats.org/officeDocument/2006/relationships/hyperlink" Id="rId22" Target="https://www.congress.gov/bill/114th-congress/senate-bill/764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2026-01-27T02:09:41Z</dcterms:created>
  <dcterms:modified xsi:type="dcterms:W3CDTF">2026-01-27T02:09:41Z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