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armers"/>
    <w:p>
      <w:pPr>
        <w:pStyle w:val="Heading1"/>
      </w:pPr>
      <w:r>
        <w:t xml:space="preserve">Farmers</w:t>
      </w:r>
    </w:p>
    <w:bookmarkStart w:id="23" w:name="debt-forgiveness"/>
    <w:p>
      <w:pPr>
        <w:pStyle w:val="Heading3"/>
      </w:pPr>
      <w:r>
        <w:t xml:space="preserve">Debt Forgiveness</w:t>
      </w:r>
    </w:p>
    <w:p>
      <w:pPr>
        <w:pStyle w:val="FirstParagraph"/>
      </w:pPr>
      <w:r>
        <w:rPr>
          <w:bCs/>
          <w:b/>
        </w:rPr>
        <w:t xml:space="preserve">2021: Schweikert Voted Against Forgiving Farm Loan Debt For Economically Distressed Farmers And Ranchers.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such sums as necessary for the USDA to forgive farm loan debt for economically distressed farmers and ranchers.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