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embryonic-stem-cell-research"/>
    <w:p>
      <w:pPr>
        <w:pStyle w:val="Heading1"/>
      </w:pPr>
      <w:r>
        <w:t xml:space="preserve">Embryonic Stem Cell Research</w:t>
      </w:r>
    </w:p>
    <w:bookmarkStart w:id="23" w:name="federally-funded-stem-cell-research"/>
    <w:p>
      <w:pPr>
        <w:pStyle w:val="Heading3"/>
      </w:pPr>
      <w:r>
        <w:t xml:space="preserve">Federally-Funded Stem Cell Research</w:t>
      </w:r>
    </w:p>
    <w:p>
      <w:pPr>
        <w:pStyle w:val="FirstParagraph"/>
      </w:pPr>
      <w:r>
        <w:rPr>
          <w:bCs/>
          <w:b/>
        </w:rPr>
        <w:t xml:space="preserve">2015: Schweikert Voted For The Stem Cell Therapeutic and Research Reauthorization Act of 2015 Which In Part Reauthorized The National Cord Blood Inventory And The C.W. Bill Young Cell Transplantation Programs Through Sept. 30, 2020.</w:t>
      </w:r>
      <w:r>
        <w:t xml:space="preserve"> </w:t>
      </w:r>
      <w:r>
        <w:t xml:space="preserve">In December 2015, Schweikert voted for legislation that would have, according to Congressional Quarterly,</w:t>
      </w:r>
      <w:r>
        <w:t xml:space="preserve"> </w:t>
      </w:r>
      <w:r>
        <w:t xml:space="preserve">“</w:t>
      </w:r>
      <w:r>
        <w:t xml:space="preserve">reauthorize[d] the National Cord Blood Inventory and the C.W. Bill Young Cell Transplantation programs through Sept. 30, 2020, authorizing $23 million and $30 million for the programs, respectively. As amended by the Senate, the bill would [have] require[d] the Department of Health and Human Services (HHS) to review the use of adult stem cells and birthing tissues for new therapies, to maximize the number of cord blood units available for transplant and to consider how many units a cord blood bank has contributed in the previous year. HHS is required to review and report to Congress on the use of stem cell science to develop new therapies for patients. Further, the bill require[d] HHS to issue a determinations on including of peripheral blood stem cells and umbilical cord blood under human organ donation regulation.</w:t>
      </w:r>
      <w:r>
        <w:t xml:space="preserve">”</w:t>
      </w:r>
      <w:r>
        <w:t xml:space="preserve"> </w:t>
      </w:r>
      <w:r>
        <w:t xml:space="preserve">The vote was on a motion to suspend the rules and concur in the Senate amendment to the bill. The House agreed to the motion, thereby passing the bill, by a vote of 421 to 0. The bill, having already been agreed to by the Senate, was sent to the president, who signed it into law. [House Vote 695,</w:t>
      </w:r>
      <w:r>
        <w:t xml:space="preserve"> </w:t>
      </w:r>
      <w:hyperlink r:id="rId20">
        <w:r>
          <w:rPr>
            <w:rStyle w:val="Hyperlink"/>
          </w:rPr>
          <w:t xml:space="preserve">12/16/15</w:t>
        </w:r>
      </w:hyperlink>
      <w:r>
        <w:t xml:space="preserve">; Congressional Quarterly,</w:t>
      </w:r>
      <w:r>
        <w:t xml:space="preserve"> </w:t>
      </w:r>
      <w:hyperlink r:id="rId21">
        <w:r>
          <w:rPr>
            <w:rStyle w:val="Hyperlink"/>
          </w:rPr>
          <w:t xml:space="preserve">12/16/15</w:t>
        </w:r>
      </w:hyperlink>
      <w:r>
        <w:t xml:space="preserve">; Congressional Actions,</w:t>
      </w:r>
      <w:r>
        <w:t xml:space="preserve"> </w:t>
      </w:r>
      <w:hyperlink r:id="rId22">
        <w:r>
          <w:rPr>
            <w:rStyle w:val="Hyperlink"/>
          </w:rPr>
          <w:t xml:space="preserve">H.R. 2820</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695.xml" TargetMode="External" /><Relationship Type="http://schemas.openxmlformats.org/officeDocument/2006/relationships/hyperlink" Id="rId21" Target="http://cq.com/vote/2015/H/695?6" TargetMode="External" /><Relationship Type="http://schemas.openxmlformats.org/officeDocument/2006/relationships/hyperlink" Id="rId22" Target="https://www.congress.gov/bill/114th-congress/house-bill/2820/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695.xml" TargetMode="External" /><Relationship Type="http://schemas.openxmlformats.org/officeDocument/2006/relationships/hyperlink" Id="rId21" Target="http://cq.com/vote/2015/H/695?6" TargetMode="External" /><Relationship Type="http://schemas.openxmlformats.org/officeDocument/2006/relationships/hyperlink" Id="rId22" Target="https://www.congress.gov/bill/114th-congress/house-bill/282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