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mexico-city-policy"/>
    <w:p>
      <w:pPr>
        <w:pStyle w:val="Heading1"/>
      </w:pPr>
      <w:r>
        <w:t xml:space="preserve">Mexico City Policy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 Bill, Which Continued The Mexico City Restrictions On International Family-Planning Funding.</w:t>
      </w:r>
      <w:r>
        <w:t xml:space="preserve"> </w:t>
      </w:r>
      <w:r>
        <w:t xml:space="preserve">In December 2019, Schweikert voted against the FY 2020 minibus spending bill, which represented 8 of the 12 appropriations bills. According to Congressional Quarterly,</w:t>
      </w:r>
      <w:r>
        <w:t xml:space="preserve"> </w:t>
      </w:r>
      <w:r>
        <w:t xml:space="preserve">“</w:t>
      </w:r>
      <w:r>
        <w:t xml:space="preserve">Within the total for global health programs, the agreement provides the FY 2019 level of $575 million for family planning and reproductive health programs. The measure does not take any actions with regard to the Mexico City restrictions on international family-planning funding that were reinstated by President Trump in January 2017, and it is silent on the May 2017 expansion of the policy, effectively leaving in place current restrictions.</w:t>
      </w:r>
      <w:r>
        <w:t xml:space="preserve">”</w:t>
      </w:r>
      <w:r>
        <w:t xml:space="preserve"> </w:t>
      </w:r>
      <w:r>
        <w:t xml:space="preserve">The vote was a motion to concur in the Senate amendment. The House agreed to the motion by a vote of 297-120. The Senate later passed the 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