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ascua-yaqui-tribe-land-acquisition"/>
    <w:p>
      <w:pPr>
        <w:pStyle w:val="Heading1"/>
      </w:pPr>
      <w:r>
        <w:t xml:space="preserve">Pascua Yaqui Tribe Land Acquisition</w:t>
      </w:r>
    </w:p>
    <w:p>
      <w:pPr>
        <w:pStyle w:val="FirstParagraph"/>
      </w:pPr>
      <w:r>
        <w:rPr>
          <w:bCs/>
          <w:b/>
        </w:rPr>
        <w:t xml:space="preserve">2021: Fitzpatrick Voted For Instructing The Interior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Take 31 Acres Of Land In Pima County, Arizona Into Trust At The Pascua</w:t>
      </w:r>
      <w:r>
        <w:rPr>
          <w:bCs/>
          <w:b/>
        </w:rPr>
        <w:t xml:space="preserve"> </w:t>
      </w:r>
      <w:r>
        <w:rPr>
          <w:bCs/>
          <w:b/>
        </w:rPr>
        <w:t xml:space="preserve">Yaqui Tribe’s Request, If The Tribe transfers The Land to The U.S., And</w:t>
      </w:r>
      <w:r>
        <w:rPr>
          <w:bCs/>
          <w:b/>
        </w:rPr>
        <w:t xml:space="preserve"> </w:t>
      </w:r>
      <w:r>
        <w:rPr>
          <w:bCs/>
          <w:b/>
        </w:rPr>
        <w:t xml:space="preserve">Gaming Would Be Subject To Federal Law.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for the Old Pascua Community Land Acquisition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Interior Department</w:t>
      </w:r>
      <w:r>
        <w:t xml:space="preserve"> </w:t>
      </w:r>
      <w:r>
        <w:t xml:space="preserve">to take approximately 31 acres of land in Pima County, Ariz. into trust</w:t>
      </w:r>
      <w:r>
        <w:t xml:space="preserve"> </w:t>
      </w:r>
      <w:r>
        <w:t xml:space="preserve">at the request of the Pascua Yaqui Tribe of Arizona, adding the land to</w:t>
      </w:r>
      <w:r>
        <w:t xml:space="preserve"> </w:t>
      </w:r>
      <w:r>
        <w:t xml:space="preserve">the Pascua Yaqui Reservation. It would deem such land as having been</w:t>
      </w:r>
      <w:r>
        <w:t xml:space="preserve"> </w:t>
      </w:r>
      <w:r>
        <w:t xml:space="preserve">taken into trust on Sept. 18, 1978, and specify that gaming on the land</w:t>
      </w:r>
      <w:r>
        <w:t xml:space="preserve"> </w:t>
      </w:r>
      <w:r>
        <w:t xml:space="preserve">would be subject to applicable federal law.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397-25. [House Vote 346,</w:t>
      </w:r>
      <w:r>
        <w:t xml:space="preserve"> </w:t>
      </w:r>
      <w:hyperlink r:id="rId20">
        <w:r>
          <w:rPr>
            <w:rStyle w:val="Hyperlink"/>
          </w:rPr>
          <w:t xml:space="preserve">11/2/21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4881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46.xml" TargetMode="External" /><Relationship Type="http://schemas.openxmlformats.org/officeDocument/2006/relationships/hyperlink" Id="rId21" Target="https://plus.cq.com/vote/2021/H/346?24" TargetMode="External" /><Relationship Type="http://schemas.openxmlformats.org/officeDocument/2006/relationships/hyperlink" Id="rId22" Target="https://www.congress.gov/bill/117th-congress/house-bill/488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46.xml" TargetMode="External" /><Relationship Type="http://schemas.openxmlformats.org/officeDocument/2006/relationships/hyperlink" Id="rId21" Target="https://plus.cq.com/vote/2021/H/346?24" TargetMode="External" /><Relationship Type="http://schemas.openxmlformats.org/officeDocument/2006/relationships/hyperlink" Id="rId22" Target="https://www.congress.gov/bill/117th-congress/house-bill/488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