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agua-caliente-land-trust"/>
    <w:p>
      <w:pPr>
        <w:pStyle w:val="Heading1"/>
      </w:pPr>
      <w:r>
        <w:t xml:space="preserve">Agua Caliente Land Trust</w:t>
      </w:r>
    </w:p>
    <w:p>
      <w:pPr>
        <w:pStyle w:val="FirstParagraph"/>
      </w:pPr>
      <w:r>
        <w:rPr>
          <w:bCs/>
          <w:b/>
        </w:rPr>
        <w:t xml:space="preserve">2021: Fitzpatrick Voted For Taking 2,560 Acres Of Land In California</w:t>
      </w:r>
      <w:r>
        <w:rPr>
          <w:bCs/>
          <w:b/>
        </w:rPr>
        <w:t xml:space="preserve"> </w:t>
      </w:r>
      <w:r>
        <w:rPr>
          <w:bCs/>
          <w:b/>
        </w:rPr>
        <w:t xml:space="preserve">Into Trust For The Agua Caliendo Band Of Cahuilla Indians’ Benefit And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Prohibiting Gaming On Such Land.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for the Agua Caliente Land Exchange Fee to Trust Confirmation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direct the Interior</w:t>
      </w:r>
      <w:r>
        <w:t xml:space="preserve"> </w:t>
      </w:r>
      <w:r>
        <w:t xml:space="preserve">Department to take approximately 2,560 acres of land in California into</w:t>
      </w:r>
      <w:r>
        <w:t xml:space="preserve"> </w:t>
      </w:r>
      <w:r>
        <w:t xml:space="preserve">trust for the benefit of the Agua Caliente Band of Cahuilla Indians. It</w:t>
      </w:r>
      <w:r>
        <w:t xml:space="preserve"> </w:t>
      </w:r>
      <w:r>
        <w:t xml:space="preserve">would prohibit gaming activities on the land taken into trust.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395-30. [House</w:t>
      </w:r>
      <w:r>
        <w:t xml:space="preserve"> </w:t>
      </w:r>
      <w:r>
        <w:t xml:space="preserve">Vote 426,</w:t>
      </w:r>
      <w:r>
        <w:t xml:space="preserve"> </w:t>
      </w:r>
      <w:hyperlink r:id="rId20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897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426.xml" TargetMode="External" /><Relationship Type="http://schemas.openxmlformats.org/officeDocument/2006/relationships/hyperlink" Id="rId21" Target="https://plus.cq.com/vote/2021/H/426?22" TargetMode="External" /><Relationship Type="http://schemas.openxmlformats.org/officeDocument/2006/relationships/hyperlink" Id="rId22" Target="https://www.congress.gov/bill/117th-congress/house-bill/89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426.xml" TargetMode="External" /><Relationship Type="http://schemas.openxmlformats.org/officeDocument/2006/relationships/hyperlink" Id="rId21" Target="https://plus.cq.com/vote/2021/H/426?22" TargetMode="External" /><Relationship Type="http://schemas.openxmlformats.org/officeDocument/2006/relationships/hyperlink" Id="rId22" Target="https://www.congress.gov/bill/117th-congress/house-bill/89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