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nutrition-related-diseases"/>
    <w:p>
      <w:pPr>
        <w:pStyle w:val="Heading1"/>
      </w:pPr>
      <w:r>
        <w:t xml:space="preserve">Nutrition-Related Diseases</w:t>
      </w:r>
    </w:p>
    <w:bookmarkStart w:id="26" w:name="urging-health-care-nutrition-training"/>
    <w:p>
      <w:pPr>
        <w:pStyle w:val="Heading3"/>
      </w:pPr>
      <w:r>
        <w:t xml:space="preserve">Urging Health Care Nutrition Training</w:t>
      </w:r>
    </w:p>
    <w:p>
      <w:pPr>
        <w:pStyle w:val="FirstParagraph"/>
      </w:pPr>
      <w:r>
        <w:rPr>
          <w:bCs/>
          <w:b/>
        </w:rPr>
        <w:t xml:space="preserve">2022: Fitzpatrick Effectively Voted Against Urging Medical Schools</w:t>
      </w:r>
      <w:r>
        <w:rPr>
          <w:bCs/>
          <w:b/>
        </w:rPr>
        <w:t xml:space="preserve"> </w:t>
      </w:r>
      <w:r>
        <w:rPr>
          <w:bCs/>
          <w:b/>
        </w:rPr>
        <w:t xml:space="preserve">Other Health Professional Training Programs To Incorporate Nutrition</w:t>
      </w:r>
      <w:r>
        <w:rPr>
          <w:bCs/>
          <w:b/>
        </w:rPr>
        <w:t xml:space="preserve"> </w:t>
      </w:r>
      <w:r>
        <w:rPr>
          <w:bCs/>
          <w:b/>
        </w:rPr>
        <w:t xml:space="preserve">Education And Trainings That Portray The Connection Between Nutrition</w:t>
      </w:r>
      <w:r>
        <w:rPr>
          <w:bCs/>
          <w:b/>
        </w:rPr>
        <w:t xml:space="preserve"> </w:t>
      </w:r>
      <w:r>
        <w:rPr>
          <w:bCs/>
          <w:b/>
        </w:rPr>
        <w:t xml:space="preserve">And Disease.</w:t>
      </w:r>
      <w:r>
        <w:t xml:space="preserve"> </w:t>
      </w:r>
      <w:r>
        <w:t xml:space="preserve">In May 2022, according to Congressional Quarterly,</w:t>
      </w:r>
      <w:r>
        <w:t xml:space="preserve"> </w:t>
      </w:r>
      <w:r>
        <w:t xml:space="preserve">Fitzpatrick voted against the adoption of the rule, which would</w:t>
      </w:r>
      <w:r>
        <w:t xml:space="preserve"> </w:t>
      </w:r>
      <w:r>
        <w:t xml:space="preserve">“</w:t>
      </w:r>
      <w:r>
        <w:t xml:space="preserve">provide</w:t>
      </w:r>
      <w:r>
        <w:t xml:space="preserve"> </w:t>
      </w:r>
      <w:r>
        <w:t xml:space="preserve">for automatic agreement, upon adoption of the rule, to a resolution (H</w:t>
      </w:r>
      <w:r>
        <w:t xml:space="preserve"> </w:t>
      </w:r>
      <w:r>
        <w:t xml:space="preserve">Res 1118) that would express the sense of Congress that the United</w:t>
      </w:r>
      <w:r>
        <w:t xml:space="preserve"> </w:t>
      </w:r>
      <w:r>
        <w:t xml:space="preserve">States should urge medical schools and other health professional</w:t>
      </w:r>
      <w:r>
        <w:t xml:space="preserve"> </w:t>
      </w:r>
      <w:r>
        <w:t xml:space="preserve">training programs to incorporate nutrition education that demonstrates</w:t>
      </w:r>
      <w:r>
        <w:t xml:space="preserve"> </w:t>
      </w:r>
      <w:r>
        <w:t xml:space="preserve">the connection between nutrition and disease and training related to</w:t>
      </w:r>
      <w:r>
        <w:t xml:space="preserve"> </w:t>
      </w:r>
      <w:r>
        <w:t xml:space="preserve">nutrition interventions and referrals; support research on nutrition</w:t>
      </w:r>
      <w:r>
        <w:t xml:space="preserve"> </w:t>
      </w:r>
      <w:r>
        <w:t xml:space="preserve">education and the dissemination of related curricular resources for</w:t>
      </w:r>
      <w:r>
        <w:t xml:space="preserve"> </w:t>
      </w:r>
      <w:r>
        <w:t xml:space="preserve">health professional training programs; and raise awareness of the role</w:t>
      </w:r>
      <w:r>
        <w:t xml:space="preserve"> </w:t>
      </w:r>
      <w:r>
        <w:t xml:space="preserve">of nutrition in health and the responsibility of health professionals to</w:t>
      </w:r>
      <w:r>
        <w:t xml:space="preserve"> </w:t>
      </w:r>
      <w:r>
        <w:t xml:space="preserve">provide patient education and counseling about nutrition.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the adoption of the rule. The House adopted the rule by a vote of</w:t>
      </w:r>
      <w:r>
        <w:t xml:space="preserve"> </w:t>
      </w:r>
      <w:r>
        <w:t xml:space="preserve">220-199, thus the resolution was automatically adopted. [House Vote</w:t>
      </w:r>
      <w:r>
        <w:t xml:space="preserve"> </w:t>
      </w:r>
      <w:r>
        <w:t xml:space="preserve">187,</w:t>
      </w:r>
      <w:r>
        <w:t xml:space="preserve"> </w:t>
      </w:r>
      <w:hyperlink r:id="rId20">
        <w:r>
          <w:rPr>
            <w:rStyle w:val="Hyperlink"/>
          </w:rPr>
          <w:t xml:space="preserve">5/17/22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5/17/22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1118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1119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Supporting Health</w:t>
      </w:r>
      <w:r>
        <w:rPr>
          <w:bCs/>
          <w:b/>
        </w:rPr>
        <w:t xml:space="preserve"> </w:t>
      </w:r>
      <w:r>
        <w:rPr>
          <w:bCs/>
          <w:b/>
        </w:rPr>
        <w:t xml:space="preserve">Professional Training Related To Nutrition-Related Disease.</w:t>
      </w:r>
      <w:r>
        <w:t xml:space="preserve"> </w:t>
      </w:r>
      <w:r>
        <w:t xml:space="preserve">In May</w:t>
      </w:r>
      <w:r>
        <w:t xml:space="preserve"> </w:t>
      </w:r>
      <w:r>
        <w:t xml:space="preserve">2022, according to Congressional Quarterly, Fitzpatrick voted against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motion to order the previous question (thus ending debate and</w:t>
      </w:r>
      <w:r>
        <w:t xml:space="preserve"> </w:t>
      </w:r>
      <w:r>
        <w:t xml:space="preserve">possibility of amendment) on the rule (H Res 1119) that would provide</w:t>
      </w:r>
      <w:r>
        <w:t xml:space="preserve"> </w:t>
      </w:r>
      <w:r>
        <w:t xml:space="preserve">for House floor consideration for […] a resolution (H Res 1118)</w:t>
      </w:r>
      <w:r>
        <w:t xml:space="preserve"> </w:t>
      </w:r>
      <w:r>
        <w:t xml:space="preserve">supporting health professional training related to nutrition-related</w:t>
      </w:r>
      <w:r>
        <w:t xml:space="preserve"> </w:t>
      </w:r>
      <w:r>
        <w:t xml:space="preserve">disease.</w:t>
      </w:r>
      <w:r>
        <w:t xml:space="preserve">”</w:t>
      </w:r>
      <w:r>
        <w:t xml:space="preserve"> </w:t>
      </w:r>
      <w:r>
        <w:t xml:space="preserve">The vote was on a motion to order the previous question. The</w:t>
      </w:r>
      <w:r>
        <w:t xml:space="preserve"> </w:t>
      </w:r>
      <w:r>
        <w:t xml:space="preserve">House agreed to the motion by a vote of 221-195. [House Vote 186,</w:t>
      </w:r>
      <w:r>
        <w:t xml:space="preserve"> </w:t>
      </w:r>
      <w:hyperlink r:id="rId24">
        <w:r>
          <w:rPr>
            <w:rStyle w:val="Hyperlink"/>
          </w:rPr>
          <w:t xml:space="preserve">5/17/22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5/17/22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1118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1119</w:t>
        </w:r>
      </w:hyperlink>
      <w:r>
        <w:t xml:space="preserve">]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clerk.house.gov/evs/2022/roll186.xml" TargetMode="External" /><Relationship Type="http://schemas.openxmlformats.org/officeDocument/2006/relationships/hyperlink" Id="rId20" Target="http://clerk.house.gov/evs/2022/roll187.xml" TargetMode="External" /><Relationship Type="http://schemas.openxmlformats.org/officeDocument/2006/relationships/hyperlink" Id="rId25" Target="https://plus.cq.com/vote/2022/H/186?14" TargetMode="External" /><Relationship Type="http://schemas.openxmlformats.org/officeDocument/2006/relationships/hyperlink" Id="rId21" Target="https://plus.cq.com/vote/2022/H/187?0" TargetMode="External" /><Relationship Type="http://schemas.openxmlformats.org/officeDocument/2006/relationships/hyperlink" Id="rId22" Target="https://www.congress.gov/bill/117th-congress/house-resolution/1118/actions" TargetMode="External" /><Relationship Type="http://schemas.openxmlformats.org/officeDocument/2006/relationships/hyperlink" Id="rId23" Target="https://www.congress.gov/bill/117th-congress/house-resolution/1119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clerk.house.gov/evs/2022/roll186.xml" TargetMode="External" /><Relationship Type="http://schemas.openxmlformats.org/officeDocument/2006/relationships/hyperlink" Id="rId20" Target="http://clerk.house.gov/evs/2022/roll187.xml" TargetMode="External" /><Relationship Type="http://schemas.openxmlformats.org/officeDocument/2006/relationships/hyperlink" Id="rId25" Target="https://plus.cq.com/vote/2022/H/186?14" TargetMode="External" /><Relationship Type="http://schemas.openxmlformats.org/officeDocument/2006/relationships/hyperlink" Id="rId21" Target="https://plus.cq.com/vote/2022/H/187?0" TargetMode="External" /><Relationship Type="http://schemas.openxmlformats.org/officeDocument/2006/relationships/hyperlink" Id="rId22" Target="https://www.congress.gov/bill/117th-congress/house-resolution/1118/actions" TargetMode="External" /><Relationship Type="http://schemas.openxmlformats.org/officeDocument/2006/relationships/hyperlink" Id="rId23" Target="https://www.congress.gov/bill/117th-congress/house-resolution/1119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2026-01-27T02:08:49Z</dcterms:created>
  <dcterms:modified xsi:type="dcterms:W3CDTF">2026-01-27T02:08:49Z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