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community-services-block-grant"/>
    <w:p>
      <w:pPr>
        <w:pStyle w:val="Heading1"/>
      </w:pPr>
      <w:r>
        <w:t xml:space="preserve">Community Services Block Grant</w:t>
      </w:r>
    </w:p>
    <w:p>
      <w:pPr>
        <w:pStyle w:val="FirstParagraph"/>
      </w:pPr>
      <w:r>
        <w:rPr>
          <w:bCs/>
          <w:b/>
        </w:rPr>
        <w:t xml:space="preserve">2022: Fitzpatrick Effectively Voted Against The Community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Block Grant Modernization Act Of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 adoption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 (H Res 1097) that would provide for floor consideration of […]</w:t>
      </w:r>
      <w:r>
        <w:t xml:space="preserve"> </w:t>
      </w:r>
      <w:r>
        <w:t xml:space="preserve">the Community Services Block Grant Modernization Act (HR 5129).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217-202. [House Vote 144,</w:t>
      </w:r>
      <w:r>
        <w:t xml:space="preserve"> </w:t>
      </w:r>
      <w:hyperlink r:id="rId20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Community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Block Grant Modernization Act Of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limiting debate and possibility of</w:t>
      </w:r>
      <w:r>
        <w:t xml:space="preserve"> </w:t>
      </w:r>
      <w:r>
        <w:t xml:space="preserve">amendment) on the rule (H Res 1097) that would provide for floor</w:t>
      </w:r>
      <w:r>
        <w:t xml:space="preserve"> </w:t>
      </w:r>
      <w:r>
        <w:t xml:space="preserve">consideration of […] the Community Services Block Grant</w:t>
      </w:r>
      <w:r>
        <w:t xml:space="preserve"> </w:t>
      </w:r>
      <w:r>
        <w:t xml:space="preserve">Modernization Act (HR 5129).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218-203.</w:t>
      </w:r>
      <w:r>
        <w:t xml:space="preserve"> </w:t>
      </w:r>
      <w:r>
        <w:t xml:space="preserve">[House Vote 143,</w:t>
      </w:r>
      <w:r>
        <w:t xml:space="preserve"> </w:t>
      </w:r>
      <w:hyperlink r:id="rId24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bookmarkStart w:id="29" w:name="addressing-food-insecurity"/>
    <w:p>
      <w:pPr>
        <w:pStyle w:val="Heading3"/>
      </w:pPr>
      <w:r>
        <w:t xml:space="preserve">Addressing Food Insecurity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States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Excess Funds Under The Block Grant Program To Support Entities In</w:t>
      </w:r>
      <w:r>
        <w:rPr>
          <w:bCs/>
          <w:b/>
        </w:rPr>
        <w:t xml:space="preserve"> </w:t>
      </w:r>
      <w:r>
        <w:rPr>
          <w:bCs/>
          <w:b/>
        </w:rPr>
        <w:t xml:space="preserve">Addressing Food Insecurity By Providing Food And Supporting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Promote Healthy Lifestyles.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Community Services Block Grant Modernization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allow states to grant excess funds under the bill's provisions</w:t>
      </w:r>
      <w:r>
        <w:t xml:space="preserve"> </w:t>
      </w:r>
      <w:r>
        <w:t xml:space="preserve">to support entities in responding to food insecurity by providing</w:t>
      </w:r>
      <w:r>
        <w:t xml:space="preserve"> </w:t>
      </w:r>
      <w:r>
        <w:t xml:space="preserve">nutritious foods and supporting practices that promote healthy living.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219-201. [House Vote 178,</w:t>
      </w:r>
      <w:r>
        <w:t xml:space="preserve"> </w:t>
      </w:r>
      <w:hyperlink r:id="rId2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29"/>
    <w:bookmarkStart w:id="33" w:name="addressing-veterans-needs"/>
    <w:p>
      <w:pPr>
        <w:pStyle w:val="Heading3"/>
      </w:pPr>
      <w:r>
        <w:t xml:space="preserve">Addressing Veterans’ Needs</w:t>
      </w:r>
    </w:p>
    <w:p>
      <w:pPr>
        <w:pStyle w:val="FirstParagraph"/>
      </w:pPr>
      <w:r>
        <w:rPr>
          <w:bCs/>
          <w:b/>
        </w:rPr>
        <w:t xml:space="preserve">2022: Fitzpatrick Voted For An Amendment That Allowed States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Excess Grant Funds To Eligible Entities Addressing The Needs Of</w:t>
      </w:r>
      <w:r>
        <w:rPr>
          <w:bCs/>
          <w:b/>
        </w:rPr>
        <w:t xml:space="preserve"> </w:t>
      </w:r>
      <w:r>
        <w:rPr>
          <w:bCs/>
          <w:b/>
        </w:rPr>
        <w:t xml:space="preserve">Veterans, Especially Homeless Veterans.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Community Services Block Grant Modernization Act of 2022, which would</w:t>
      </w:r>
      <w:r>
        <w:t xml:space="preserve"> </w:t>
      </w:r>
      <w:r>
        <w:t xml:space="preserve">“</w:t>
      </w:r>
      <w:r>
        <w:t xml:space="preserve">allow states to grant excess funds under the bill's provisions to</w:t>
      </w:r>
      <w:r>
        <w:t xml:space="preserve"> </w:t>
      </w:r>
      <w:r>
        <w:t xml:space="preserve">support eligible entities in addressing the needs of veterans, with an</w:t>
      </w:r>
      <w:r>
        <w:t xml:space="preserve"> </w:t>
      </w:r>
      <w:r>
        <w:t xml:space="preserve">emphasis on homeless veterans.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418-0. [House</w:t>
      </w:r>
      <w:r>
        <w:t xml:space="preserve"> </w:t>
      </w:r>
      <w:r>
        <w:t xml:space="preserve">Vote 180,</w:t>
      </w:r>
      <w:r>
        <w:t xml:space="preserve"> </w:t>
      </w:r>
      <w:hyperlink r:id="rId30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5/13/22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33"/>
    <w:bookmarkStart w:id="34" w:name="behavioral-health-needs"/>
    <w:p>
      <w:pPr>
        <w:pStyle w:val="Heading3"/>
      </w:pPr>
      <w:r>
        <w:t xml:space="preserve">Behavioral Health Needs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Sub-Grant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To Use Grant Funding For Activities That Address Behavioral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Needs.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en bloc amendments no. 1 to the Community Services</w:t>
      </w:r>
      <w:r>
        <w:t xml:space="preserve"> </w:t>
      </w:r>
      <w:r>
        <w:t xml:space="preserve">Block Grant Modernization Act of 2022, which would</w:t>
      </w:r>
      <w:r>
        <w:t xml:space="preserve"> </w:t>
      </w:r>
      <w:r>
        <w:t xml:space="preserve">“</w:t>
      </w:r>
      <w:r>
        <w:t xml:space="preserve">specify that</w:t>
      </w:r>
      <w:r>
        <w:t xml:space="preserve"> </w:t>
      </w:r>
      <w:r>
        <w:t xml:space="preserve">recipients of subgrants under the bill's provisions could use grant</w:t>
      </w:r>
      <w:r>
        <w:t xml:space="preserve"> </w:t>
      </w:r>
      <w:r>
        <w:t xml:space="preserve">funding for activities that address behavioral health needs.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adopted the amendments by a</w:t>
      </w:r>
      <w:r>
        <w:t xml:space="preserve"> </w:t>
      </w:r>
      <w:r>
        <w:t xml:space="preserve">vote of 219-201. [House Vote 178,</w:t>
      </w:r>
      <w:r>
        <w:t xml:space="preserve"> </w:t>
      </w:r>
      <w:hyperlink r:id="rId2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34"/>
    <w:bookmarkStart w:id="35" w:name="best-practices-to-reduce-poverty"/>
    <w:p>
      <w:pPr>
        <w:pStyle w:val="Heading3"/>
      </w:pPr>
      <w:r>
        <w:t xml:space="preserve">Best Practices To Reduce Poverty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HHS To Analyze</w:t>
      </w:r>
      <w:r>
        <w:rPr>
          <w:bCs/>
          <w:b/>
        </w:rPr>
        <w:t xml:space="preserve"> </w:t>
      </w:r>
      <w:r>
        <w:rPr>
          <w:bCs/>
          <w:b/>
        </w:rPr>
        <w:t xml:space="preserve">Best Practices To Reduce Poverty In Accordance With The Grant Program’s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Distribution Of Funds To Ensure Support Of Innovation And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Best Strategies To Reduce Poverty.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Community Services Block Grant Modernization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Health and Human Services Department to include an</w:t>
      </w:r>
      <w:r>
        <w:t xml:space="preserve"> </w:t>
      </w:r>
      <w:r>
        <w:t xml:space="preserve">analysis of best practices in poverty reduction in disseminating results</w:t>
      </w:r>
      <w:r>
        <w:t xml:space="preserve"> </w:t>
      </w:r>
      <w:r>
        <w:t xml:space="preserve">of a grant program established by the bill to support innovation and the</w:t>
      </w:r>
      <w:r>
        <w:t xml:space="preserve"> </w:t>
      </w:r>
      <w:r>
        <w:t xml:space="preserve">use of evidence-based practices in reducing poverty conditions.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219-201. [House Vote 178,</w:t>
      </w:r>
      <w:r>
        <w:t xml:space="preserve"> </w:t>
      </w:r>
      <w:hyperlink r:id="rId2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35"/>
    <w:bookmarkStart w:id="3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Authorize $1 Billion Annually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Services Block Grant Program Through FY 2027 And As Necessary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2032.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Community Services Block Grant Modernization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authorize $1 billion annually for the program</w:t>
      </w:r>
      <w:r>
        <w:t xml:space="preserve"> </w:t>
      </w:r>
      <w:r>
        <w:t xml:space="preserve">through fiscal 2027 and such sums as necessary thereafter through fiscal</w:t>
      </w:r>
      <w:r>
        <w:t xml:space="preserve"> </w:t>
      </w:r>
      <w:r>
        <w:t xml:space="preserve">2032.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246-169, thus the bill was sent to the Senate. [House Vote 182,</w:t>
      </w:r>
      <w:r>
        <w:t xml:space="preserve"> </w:t>
      </w:r>
      <w:hyperlink r:id="rId3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HHS To Reserve 1% Of Program Funding For A</w:t>
      </w:r>
      <w:r>
        <w:rPr>
          <w:bCs/>
          <w:b/>
        </w:rPr>
        <w:t xml:space="preserve"> </w:t>
      </w:r>
      <w:r>
        <w:rPr>
          <w:bCs/>
          <w:b/>
        </w:rPr>
        <w:t xml:space="preserve">New Community Action Innovations Program To Expand Innovative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To Reduce Poverty, 0.5% Of Funding For Grants To U.S.</w:t>
      </w:r>
      <w:r>
        <w:rPr>
          <w:bCs/>
          <w:b/>
        </w:rPr>
        <w:t xml:space="preserve"> </w:t>
      </w:r>
      <w:r>
        <w:rPr>
          <w:bCs/>
          <w:b/>
        </w:rPr>
        <w:t xml:space="preserve">Territories, And Up To $5 Million Annually Through FY 2025 To</w:t>
      </w:r>
      <w:r>
        <w:rPr>
          <w:bCs/>
          <w:b/>
        </w:rPr>
        <w:t xml:space="preserve"> </w:t>
      </w:r>
      <w:r>
        <w:rPr>
          <w:bCs/>
          <w:b/>
        </w:rPr>
        <w:t xml:space="preserve">Develop An Electronic Data System For Program Reports.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It would require the department to</w:t>
      </w:r>
      <w:r>
        <w:t xml:space="preserve"> </w:t>
      </w:r>
      <w:r>
        <w:t xml:space="preserve">reserve one percent of program funding for a new Community Action</w:t>
      </w:r>
      <w:r>
        <w:t xml:space="preserve"> </w:t>
      </w:r>
      <w:r>
        <w:t xml:space="preserve">Innovations Program for projects to replicate, expand and test</w:t>
      </w:r>
      <w:r>
        <w:t xml:space="preserve"> </w:t>
      </w:r>
      <w:r>
        <w:t xml:space="preserve">innovative and evidence-based practices to reduce poverty; two</w:t>
      </w:r>
      <w:r>
        <w:t xml:space="preserve"> </w:t>
      </w:r>
      <w:r>
        <w:t xml:space="preserve">percent of funding for training and technical assistance to</w:t>
      </w:r>
      <w:r>
        <w:t xml:space="preserve"> </w:t>
      </w:r>
      <w:r>
        <w:t xml:space="preserve">grantees; 0.5 percent of funding for grants to U.S. territories; and</w:t>
      </w:r>
      <w:r>
        <w:t xml:space="preserve"> </w:t>
      </w:r>
      <w:r>
        <w:t xml:space="preserve">up to $5 million annually through fiscal 2025 to develop and</w:t>
      </w:r>
      <w:r>
        <w:t xml:space="preserve"> </w:t>
      </w:r>
      <w:r>
        <w:t xml:space="preserve">maintain an electronic data system for program reports.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Funds As Necessary Through FY 2032 For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Community Development Programs That Were Formerly</w:t>
      </w:r>
      <w:r>
        <w:rPr>
          <w:bCs/>
          <w:b/>
        </w:rPr>
        <w:t xml:space="preserve"> </w:t>
      </w:r>
      <w:r>
        <w:rPr>
          <w:bCs/>
          <w:b/>
        </w:rPr>
        <w:t xml:space="preserve">Funded Through The Block Grant Program And A New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Program To Increase Broadband Access And Digital Literacy.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authorize such</w:t>
      </w:r>
      <w:r>
        <w:t xml:space="preserve"> </w:t>
      </w:r>
      <w:r>
        <w:t xml:space="preserve">sums as necessary through fiscal 2032 for discretionary community</w:t>
      </w:r>
      <w:r>
        <w:t xml:space="preserve"> </w:t>
      </w:r>
      <w:r>
        <w:t xml:space="preserve">development programs previously funded under the CSBG program, as</w:t>
      </w:r>
      <w:r>
        <w:t xml:space="preserve"> </w:t>
      </w:r>
      <w:r>
        <w:t xml:space="preserve">well as a new discretionary program to expand broadband access and</w:t>
      </w:r>
      <w:r>
        <w:t xml:space="preserve"> </w:t>
      </w:r>
      <w:r>
        <w:t xml:space="preserve">digital literacy.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bookmarkEnd w:id="38"/>
    <w:bookmarkStart w:id="39" w:name="higher-education-partnerships"/>
    <w:p>
      <w:pPr>
        <w:pStyle w:val="Heading3"/>
      </w:pPr>
      <w:r>
        <w:t xml:space="preserve">Higher Education Partnerships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Sub-Grant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To Use Funding For Activities That Develop And Maintain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Partnerships With Higher Education Institutions, Including HBCUs, Tribal</w:t>
      </w:r>
      <w:r>
        <w:rPr>
          <w:bCs/>
          <w:b/>
        </w:rPr>
        <w:t xml:space="preserve"> </w:t>
      </w:r>
      <w:r>
        <w:rPr>
          <w:bCs/>
          <w:b/>
        </w:rPr>
        <w:t xml:space="preserve">Colleges And MSIs.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en bloc amendments no. 1 to the Community Services</w:t>
      </w:r>
      <w:r>
        <w:t xml:space="preserve"> </w:t>
      </w:r>
      <w:r>
        <w:t xml:space="preserve">Block Grant Modernization Act of 2022, which would</w:t>
      </w:r>
      <w:r>
        <w:t xml:space="preserve"> </w:t>
      </w:r>
      <w:r>
        <w:t xml:space="preserve">“</w:t>
      </w:r>
      <w:r>
        <w:t xml:space="preserve">specify that</w:t>
      </w:r>
      <w:r>
        <w:t xml:space="preserve"> </w:t>
      </w:r>
      <w:r>
        <w:t xml:space="preserve">recipients of subgrants under the bill's provisions could use funding</w:t>
      </w:r>
      <w:r>
        <w:t xml:space="preserve"> </w:t>
      </w:r>
      <w:r>
        <w:t xml:space="preserve">for activities that develop and maintain partnerships with higher</w:t>
      </w:r>
      <w:r>
        <w:t xml:space="preserve"> </w:t>
      </w:r>
      <w:r>
        <w:t xml:space="preserve">education institutions, including historically Black colleges and</w:t>
      </w:r>
      <w:r>
        <w:t xml:space="preserve"> </w:t>
      </w:r>
      <w:r>
        <w:t xml:space="preserve">universities, tribal colleges and universities and minority-serving</w:t>
      </w:r>
      <w:r>
        <w:t xml:space="preserve"> </w:t>
      </w:r>
      <w:r>
        <w:t xml:space="preserve">institutions.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219-201. [House Vote 178,</w:t>
      </w:r>
      <w:r>
        <w:t xml:space="preserve"> </w:t>
      </w:r>
      <w:hyperlink r:id="rId2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39"/>
    <w:bookmarkStart w:id="43" w:name="X368203e85231baffefbc01554e5c019a5bbc2d7"/>
    <w:p>
      <w:pPr>
        <w:pStyle w:val="Heading3"/>
      </w:pPr>
      <w:r>
        <w:t xml:space="preserve">Increasing Eligibility Threshold When Only Necessary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Add Language</w:t>
      </w:r>
      <w:r>
        <w:rPr>
          <w:bCs/>
          <w:b/>
        </w:rPr>
        <w:t xml:space="preserve"> </w:t>
      </w:r>
      <w:r>
        <w:rPr>
          <w:bCs/>
          <w:b/>
        </w:rPr>
        <w:t xml:space="preserve">That Allowed States To Raise Eligibility Threshold To 125% Of The</w:t>
      </w:r>
      <w:r>
        <w:rPr>
          <w:bCs/>
          <w:b/>
        </w:rPr>
        <w:t xml:space="preserve"> </w:t>
      </w:r>
      <w:r>
        <w:rPr>
          <w:bCs/>
          <w:b/>
        </w:rPr>
        <w:t xml:space="preserve">Poverty Level If It Were To Serve The Grant Program’s Objectives.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</w:t>
      </w:r>
      <w:r>
        <w:t xml:space="preserve"> </w:t>
      </w:r>
      <w:r>
        <w:t xml:space="preserve">against en bloc amendments no. 2 to the Community Services Block Grant</w:t>
      </w:r>
      <w:r>
        <w:t xml:space="preserve"> </w:t>
      </w:r>
      <w:r>
        <w:t xml:space="preserve">Modernization Act of 2022, which would</w:t>
      </w:r>
      <w:r>
        <w:t xml:space="preserve"> </w:t>
      </w:r>
      <w:r>
        <w:t xml:space="preserve">“</w:t>
      </w:r>
      <w:r>
        <w:t xml:space="preserve">add language allowing states to</w:t>
      </w:r>
      <w:r>
        <w:t xml:space="preserve"> </w:t>
      </w:r>
      <w:r>
        <w:t xml:space="preserve">raise the eligibility threshold to 125 percent of the poverty level when</w:t>
      </w:r>
      <w:r>
        <w:t xml:space="preserve"> </w:t>
      </w:r>
      <w:r>
        <w:t xml:space="preserve">it serves the objectives of the program.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rejected the amendments by a vote of 198-219.</w:t>
      </w:r>
      <w:r>
        <w:t xml:space="preserve"> </w:t>
      </w:r>
      <w:r>
        <w:t xml:space="preserve">[House Vote 179,</w:t>
      </w:r>
      <w:r>
        <w:t xml:space="preserve"> </w:t>
      </w:r>
      <w:hyperlink r:id="rId40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Amendments That Would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Grant Funding For Voter Registration Programs And Lobbying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Except When A Funded Entity Were To Be Requested To</w:t>
      </w:r>
      <w:r>
        <w:rPr>
          <w:bCs/>
          <w:b/>
        </w:rPr>
        <w:t xml:space="preserve"> </w:t>
      </w:r>
      <w:r>
        <w:rPr>
          <w:bCs/>
          <w:b/>
        </w:rPr>
        <w:t xml:space="preserve">Testify.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en bloc amendments no. 2 to the Community</w:t>
      </w:r>
      <w:r>
        <w:t xml:space="preserve"> </w:t>
      </w:r>
      <w:r>
        <w:t xml:space="preserve">Services Block Grant Modernization Act of 2022, which would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voter registration activities under a program, project or service funded</w:t>
      </w:r>
      <w:r>
        <w:t xml:space="preserve"> </w:t>
      </w:r>
      <w:r>
        <w:t xml:space="preserve">under the bill's provisions. It also would prohibit the use of funds</w:t>
      </w:r>
      <w:r>
        <w:t xml:space="preserve"> </w:t>
      </w:r>
      <w:r>
        <w:t xml:space="preserve">under the bill for lobbying, except in the case that a representative</w:t>
      </w:r>
      <w:r>
        <w:t xml:space="preserve"> </w:t>
      </w:r>
      <w:r>
        <w:t xml:space="preserve">from a funded entity is requested to testify by a legislative body.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rejected the</w:t>
      </w:r>
      <w:r>
        <w:t xml:space="preserve"> </w:t>
      </w:r>
      <w:r>
        <w:t xml:space="preserve">amendments by a vote of 198-219. [House Vote 179,</w:t>
      </w:r>
      <w:r>
        <w:t xml:space="preserve"> </w:t>
      </w:r>
      <w:hyperlink r:id="rId40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43"/>
    <w:bookmarkStart w:id="44" w:name="Xc864963fdd0f6de9edf6d91d4e588088155ff2b"/>
    <w:p>
      <w:pPr>
        <w:pStyle w:val="Heading3"/>
      </w:pPr>
      <w:r>
        <w:t xml:space="preserve">Prohibiting Payments To Health Care Services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Grant Funds As Direct Payments Or Reimbursements For Any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Services.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en bloc amendments no. 2 to the</w:t>
      </w:r>
      <w:r>
        <w:t xml:space="preserve"> </w:t>
      </w:r>
      <w:r>
        <w:t xml:space="preserve">Community Services Block Grant Modernization Act of 2022, which would</w:t>
      </w:r>
      <w:r>
        <w:t xml:space="preserve"> </w:t>
      </w:r>
      <w:r>
        <w:t xml:space="preserve">“</w:t>
      </w:r>
      <w:r>
        <w:t xml:space="preserve">prohibit the use of funds under the bill to provide direct payment or</w:t>
      </w:r>
      <w:r>
        <w:t xml:space="preserve"> </w:t>
      </w:r>
      <w:r>
        <w:t xml:space="preserve">reimbursement for any health care services.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rejected the amendments by a vote of</w:t>
      </w:r>
      <w:r>
        <w:t xml:space="preserve"> </w:t>
      </w:r>
      <w:r>
        <w:t xml:space="preserve">198-219. [House Vote 179,</w:t>
      </w:r>
      <w:r>
        <w:t xml:space="preserve"> </w:t>
      </w:r>
      <w:hyperlink r:id="rId40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44"/>
    <w:bookmarkStart w:id="46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2022: Fitzpatrick Voted To Reauthorize The Community Services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 Program Through FY 2032, Which Supports Local Entities In</w:t>
      </w:r>
      <w:r>
        <w:rPr>
          <w:bCs/>
          <w:b/>
        </w:rPr>
        <w:t xml:space="preserve"> </w:t>
      </w:r>
      <w:r>
        <w:rPr>
          <w:bCs/>
          <w:b/>
        </w:rPr>
        <w:t xml:space="preserve">Addressing Poverty At A Community Level.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Community Services</w:t>
      </w:r>
      <w:r>
        <w:t xml:space="preserve"> </w:t>
      </w:r>
      <w:r>
        <w:t xml:space="preserve">Block Grant Modernization Act of 2022, which would</w:t>
      </w:r>
      <w:r>
        <w:t xml:space="preserve"> </w:t>
      </w:r>
      <w:r>
        <w:t xml:space="preserve">“</w:t>
      </w:r>
      <w:r>
        <w:t xml:space="preserve">reauthorize the</w:t>
      </w:r>
      <w:r>
        <w:t xml:space="preserve"> </w:t>
      </w:r>
      <w:r>
        <w:t xml:space="preserve">Health and Human Services Department's Community Services Block Grant</w:t>
      </w:r>
      <w:r>
        <w:t xml:space="preserve"> </w:t>
      </w:r>
      <w:r>
        <w:t xml:space="preserve">program through fiscal 2032 and make a number of modifications to the</w:t>
      </w:r>
      <w:r>
        <w:t xml:space="preserve"> </w:t>
      </w:r>
      <w:r>
        <w:t xml:space="preserve">program, which supports activities by local agencies and organizations</w:t>
      </w:r>
      <w:r>
        <w:t xml:space="preserve"> </w:t>
      </w:r>
      <w:r>
        <w:t xml:space="preserve">to address poverty at a community level. It would modify or expand</w:t>
      </w:r>
      <w:r>
        <w:t xml:space="preserve"> </w:t>
      </w:r>
      <w:r>
        <w:t xml:space="preserve">various requirements related to state plans for the use and oversight of</w:t>
      </w:r>
      <w:r>
        <w:t xml:space="preserve"> </w:t>
      </w:r>
      <w:r>
        <w:t xml:space="preserve">program funds, including to require that state plans be primarily based</w:t>
      </w:r>
      <w:r>
        <w:t xml:space="preserve"> </w:t>
      </w:r>
      <w:r>
        <w:t xml:space="preserve">on community action plans developed by local agencies receiving program</w:t>
      </w:r>
      <w:r>
        <w:t xml:space="preserve"> </w:t>
      </w:r>
      <w:r>
        <w:t xml:space="preserve">subgrants, as well as the operations of and program reporting</w:t>
      </w:r>
      <w:r>
        <w:t xml:space="preserve"> </w:t>
      </w:r>
      <w:r>
        <w:t xml:space="preserve">requirements for such agencies. It would expand requirements and</w:t>
      </w:r>
      <w:r>
        <w:t xml:space="preserve"> </w:t>
      </w:r>
      <w:r>
        <w:t xml:space="preserve">procedures for program audits, including to require the department to</w:t>
      </w:r>
      <w:r>
        <w:t xml:space="preserve"> </w:t>
      </w:r>
      <w:r>
        <w:t xml:space="preserve">audit at least 20 percent of states annually and specify procedures for</w:t>
      </w:r>
      <w:r>
        <w:t xml:space="preserve"> </w:t>
      </w:r>
      <w:r>
        <w:t xml:space="preserve">state response to proposed corrective action in the case of</w:t>
      </w:r>
      <w:r>
        <w:t xml:space="preserve"> </w:t>
      </w:r>
      <w:r>
        <w:t xml:space="preserve">non-compliance and for the direct provision of funding to subgrantees if</w:t>
      </w:r>
      <w:r>
        <w:t xml:space="preserve"> </w:t>
      </w:r>
      <w:r>
        <w:t xml:space="preserve">state funding is reduced or eliminated.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246-169, thus the bill was sent to</w:t>
      </w:r>
      <w:r>
        <w:t xml:space="preserve"> </w:t>
      </w:r>
      <w:r>
        <w:t xml:space="preserve">the Senate. [House Vote 182,</w:t>
      </w:r>
      <w:r>
        <w:t xml:space="preserve"> </w:t>
      </w:r>
      <w:hyperlink r:id="rId36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An Eligibility Threshold For Block Grant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Participation At 200% Of The Federal Poverty Level, Instead</w:t>
      </w:r>
      <w:r>
        <w:rPr>
          <w:bCs/>
          <w:b/>
        </w:rPr>
        <w:t xml:space="preserve"> </w:t>
      </w:r>
      <w:r>
        <w:rPr>
          <w:bCs/>
          <w:b/>
        </w:rPr>
        <w:t xml:space="preserve">Of The Current 185%.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program modifications, the bill would establish an eligibility</w:t>
      </w:r>
      <w:r>
        <w:t xml:space="preserve"> </w:t>
      </w:r>
      <w:r>
        <w:t xml:space="preserve">threshold for program participation at 200 percent of the federal</w:t>
      </w:r>
      <w:r>
        <w:t xml:space="preserve"> </w:t>
      </w:r>
      <w:r>
        <w:t xml:space="preserve">poverty level, as opposed to the existing guideline of 185 percent;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Remove Language That Allows States To Drug Test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Participants And Remove Language That Requires States To</w:t>
      </w:r>
      <w:r>
        <w:rPr>
          <w:bCs/>
          <w:b/>
        </w:rPr>
        <w:t xml:space="preserve"> </w:t>
      </w:r>
      <w:r>
        <w:rPr>
          <w:bCs/>
          <w:b/>
        </w:rPr>
        <w:t xml:space="preserve">Consider Religious Organizations For Grants Equally Like Other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remove</w:t>
      </w:r>
      <w:r>
        <w:t xml:space="preserve"> </w:t>
      </w:r>
      <w:r>
        <w:t xml:space="preserve">existing language allowing states to drug test program participants</w:t>
      </w:r>
      <w:r>
        <w:t xml:space="preserve"> </w:t>
      </w:r>
      <w:r>
        <w:t xml:space="preserve">and requiring states to consider religious organizations for grants</w:t>
      </w:r>
      <w:r>
        <w:t xml:space="preserve"> </w:t>
      </w:r>
      <w:r>
        <w:t xml:space="preserve">on the same basis as other organizations;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Forbid Discrimination Based On Race, Color,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Origin, Or Sex In The Funded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explicitly prohibit discrimination based</w:t>
      </w:r>
      <w:r>
        <w:t xml:space="preserve"> </w:t>
      </w:r>
      <w:r>
        <w:t xml:space="preserve">on race, color, national origin or sex in funded programs;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Permit The Use Of Grant Funds For Material</w:t>
      </w:r>
      <w:r>
        <w:rPr>
          <w:bCs/>
          <w:b/>
        </w:rPr>
        <w:t xml:space="preserve"> </w:t>
      </w:r>
      <w:r>
        <w:rPr>
          <w:bCs/>
          <w:b/>
        </w:rPr>
        <w:t xml:space="preserve">Improvements To Better Building Accessibility.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allow the use of funding for material</w:t>
      </w:r>
      <w:r>
        <w:t xml:space="preserve"> </w:t>
      </w:r>
      <w:r>
        <w:t xml:space="preserve">improvements to improve building accessibility.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5/13/22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Congresswoman Virginia Foxx (R) Spoke Against The Bill, Primarily</w:t>
      </w:r>
      <w:r>
        <w:rPr>
          <w:bCs/>
          <w:b/>
        </w:rPr>
        <w:t xml:space="preserve"> </w:t>
      </w:r>
      <w:r>
        <w:rPr>
          <w:bCs/>
          <w:b/>
        </w:rPr>
        <w:t xml:space="preserve">Criticizing That The It Removed Religious Protections For Religious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Foxx also spoke</w:t>
      </w:r>
      <w:r>
        <w:t xml:space="preserve"> </w:t>
      </w:r>
      <w:r>
        <w:t xml:space="preserve">against legislation (HR 5129) that would reauthorize the federal</w:t>
      </w:r>
      <w:r>
        <w:t xml:space="preserve"> </w:t>
      </w:r>
      <w:r>
        <w:t xml:space="preserve">Community Services Block Grant program for 10 years. It would</w:t>
      </w:r>
      <w:r>
        <w:t xml:space="preserve"> </w:t>
      </w:r>
      <w:r>
        <w:t xml:space="preserve">authorize $1 billion annually in fiscal years 2023 through 2027,</w:t>
      </w:r>
      <w:r>
        <w:t xml:space="preserve"> </w:t>
      </w:r>
      <w:r>
        <w:t xml:space="preserve">and raise income eligibility for grant programs to 200 percent of</w:t>
      </w:r>
      <w:r>
        <w:t xml:space="preserve"> </w:t>
      </w:r>
      <w:r>
        <w:t xml:space="preserve">the federal poverty line. She specifically criticized the removal of</w:t>
      </w:r>
      <w:r>
        <w:t xml:space="preserve"> </w:t>
      </w:r>
      <w:r>
        <w:t xml:space="preserve">religious protections for faith-based providers.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Several Civil Rights And Religious Organizations Opposed The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Protections, Which Democrats Argued They Permitted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Providers To Discriminate Against Job Applicants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 Recipients.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Rules</w:t>
      </w:r>
      <w:r>
        <w:t xml:space="preserve"> </w:t>
      </w:r>
      <w:r>
        <w:t xml:space="preserve">Chairman Jim McGovern, D-Mass., entered into the record a letter</w:t>
      </w:r>
      <w:r>
        <w:t xml:space="preserve"> </w:t>
      </w:r>
      <w:r>
        <w:t xml:space="preserve">from several civil rights and religious organizations opposing the</w:t>
      </w:r>
      <w:r>
        <w:t xml:space="preserve"> </w:t>
      </w:r>
      <w:r>
        <w:t xml:space="preserve">inclusion of those religious protections, which Democrats argue</w:t>
      </w:r>
      <w:r>
        <w:t xml:space="preserve"> </w:t>
      </w:r>
      <w:r>
        <w:t xml:space="preserve">would permit faith-based providers to discriminate against job</w:t>
      </w:r>
      <w:r>
        <w:t xml:space="preserve"> </w:t>
      </w:r>
      <w:r>
        <w:t xml:space="preserve">candidates and program recipients.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5/10/22</w:t>
        </w:r>
      </w:hyperlink>
      <w:r>
        <w:t xml:space="preserve">]</w:t>
      </w:r>
    </w:p>
    <w:bookmarkEnd w:id="46"/>
    <w:bookmarkStart w:id="47" w:name="X6a05c352adeaf58286dca43495b3523ce0d1e0b"/>
    <w:p>
      <w:pPr>
        <w:pStyle w:val="Heading3"/>
      </w:pPr>
      <w:r>
        <w:t xml:space="preserve">Removing Language Over Increased Eligibility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Remove Language</w:t>
      </w:r>
      <w:r>
        <w:rPr>
          <w:bCs/>
          <w:b/>
        </w:rPr>
        <w:t xml:space="preserve"> </w:t>
      </w:r>
      <w:r>
        <w:rPr>
          <w:bCs/>
          <w:b/>
        </w:rPr>
        <w:t xml:space="preserve">That Increased The Eligibility Threshold For Grant Program Participation</w:t>
      </w:r>
      <w:r>
        <w:rPr>
          <w:bCs/>
          <w:b/>
        </w:rPr>
        <w:t xml:space="preserve"> </w:t>
      </w:r>
      <w:r>
        <w:rPr>
          <w:bCs/>
          <w:b/>
        </w:rPr>
        <w:t xml:space="preserve">To 200% Of The Federal Poverty Level And Remove Language That Allowed A</w:t>
      </w:r>
      <w:r>
        <w:rPr>
          <w:bCs/>
          <w:b/>
        </w:rPr>
        <w:t xml:space="preserve"> </w:t>
      </w:r>
      <w:r>
        <w:rPr>
          <w:bCs/>
          <w:b/>
        </w:rPr>
        <w:t xml:space="preserve">State Or Tribal Grantee To Permit Participants To Remain Eligible,</w:t>
      </w:r>
      <w:r>
        <w:rPr>
          <w:bCs/>
          <w:b/>
        </w:rPr>
        <w:t xml:space="preserve"> </w:t>
      </w:r>
      <w:r>
        <w:rPr>
          <w:bCs/>
          <w:b/>
        </w:rPr>
        <w:t xml:space="preserve">Regardless Of Income, If They Were On Track To Fulfill The Program’s</w:t>
      </w:r>
      <w:r>
        <w:rPr>
          <w:bCs/>
          <w:b/>
        </w:rPr>
        <w:t xml:space="preserve"> </w:t>
      </w:r>
      <w:r>
        <w:rPr>
          <w:bCs/>
          <w:b/>
        </w:rPr>
        <w:t xml:space="preserve">Goals.</w:t>
      </w:r>
      <w:r>
        <w:t xml:space="preserve"> </w:t>
      </w:r>
      <w:r>
        <w:t xml:space="preserve">In May 2022, according to Congressional Quarterly, Fitzpatrick</w:t>
      </w:r>
      <w:r>
        <w:t xml:space="preserve"> </w:t>
      </w:r>
      <w:r>
        <w:t xml:space="preserve">voted against en bloc amendments no. 2 to the Community Services Block</w:t>
      </w:r>
      <w:r>
        <w:t xml:space="preserve"> </w:t>
      </w:r>
      <w:r>
        <w:t xml:space="preserve">Grant Modernization Act of 2022, which would</w:t>
      </w:r>
      <w:r>
        <w:t xml:space="preserve"> </w:t>
      </w:r>
      <w:r>
        <w:t xml:space="preserve">“</w:t>
      </w:r>
      <w:r>
        <w:t xml:space="preserve">remove language increasing</w:t>
      </w:r>
      <w:r>
        <w:t xml:space="preserve"> </w:t>
      </w:r>
      <w:r>
        <w:t xml:space="preserve">the eligibility threshold for program participation to 200 percent of</w:t>
      </w:r>
      <w:r>
        <w:t xml:space="preserve"> </w:t>
      </w:r>
      <w:r>
        <w:t xml:space="preserve">the federal poverty level. It would also remove language allowing a</w:t>
      </w:r>
      <w:r>
        <w:t xml:space="preserve"> </w:t>
      </w:r>
      <w:r>
        <w:t xml:space="preserve">state or tribal grantee to establish procedures to allow participants to</w:t>
      </w:r>
      <w:r>
        <w:t xml:space="preserve"> </w:t>
      </w:r>
      <w:r>
        <w:t xml:space="preserve">remain eligible, regardless of their income eligibility, if they are</w:t>
      </w:r>
      <w:r>
        <w:t xml:space="preserve"> </w:t>
      </w:r>
      <w:r>
        <w:t xml:space="preserve">progressing toward the program's goals.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rejected the amendments by a vote of 198-219.</w:t>
      </w:r>
      <w:r>
        <w:t xml:space="preserve"> </w:t>
      </w:r>
      <w:r>
        <w:t xml:space="preserve">[House Vote 179,</w:t>
      </w:r>
      <w:r>
        <w:t xml:space="preserve"> </w:t>
      </w:r>
      <w:hyperlink r:id="rId40">
        <w:r>
          <w:rPr>
            <w:rStyle w:val="Hyperlink"/>
          </w:rPr>
          <w:t xml:space="preserve">5/13/22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5129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6" Target="http://clerk.house.gov/evs/2022/roll178.xml" TargetMode="External" /><Relationship Type="http://schemas.openxmlformats.org/officeDocument/2006/relationships/hyperlink" Id="rId40" Target="http://clerk.house.gov/evs/2022/roll179.xml" TargetMode="External" /><Relationship Type="http://schemas.openxmlformats.org/officeDocument/2006/relationships/hyperlink" Id="rId30" Target="http://clerk.house.gov/evs/2022/roll180.xml" TargetMode="External" /><Relationship Type="http://schemas.openxmlformats.org/officeDocument/2006/relationships/hyperlink" Id="rId36" Target="http://clerk.house.gov/evs/2022/roll182.xml" TargetMode="External" /><Relationship Type="http://schemas.openxmlformats.org/officeDocument/2006/relationships/hyperlink" Id="rId45" Target="https://plus.cq.com/doc/committees-20220510486301?2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7" Target="https://plus.cq.com/vote/2022/H/178?4" TargetMode="External" /><Relationship Type="http://schemas.openxmlformats.org/officeDocument/2006/relationships/hyperlink" Id="rId41" Target="https://plus.cq.com/vote/2022/H/179?5" TargetMode="External" /><Relationship Type="http://schemas.openxmlformats.org/officeDocument/2006/relationships/hyperlink" Id="rId31" Target="https://plus.cq.com/vote/2022/H/180?6" TargetMode="External" /><Relationship Type="http://schemas.openxmlformats.org/officeDocument/2006/relationships/hyperlink" Id="rId37" Target="https://plus.cq.com/vote/2022/H/182?8" TargetMode="External" /><Relationship Type="http://schemas.openxmlformats.org/officeDocument/2006/relationships/hyperlink" Id="rId28" Target="https://www.congress.gov/amendment/117th-congress/house-amendment/202/actions?r=3&amp;s=a" TargetMode="External" /><Relationship Type="http://schemas.openxmlformats.org/officeDocument/2006/relationships/hyperlink" Id="rId42" Target="https://www.congress.gov/amendment/117th-congress/house-amendment/203/actions?r=2&amp;s=a" TargetMode="External" /><Relationship Type="http://schemas.openxmlformats.org/officeDocument/2006/relationships/hyperlink" Id="rId32" Target="https://www.congress.gov/amendment/117th-congress/house-amendment/204/actions?r=1&amp;s=a" TargetMode="External" /><Relationship Type="http://schemas.openxmlformats.org/officeDocument/2006/relationships/hyperlink" Id="rId22" Target="https://www.congress.gov/bill/117th-congress/house-bill/5129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6" Target="http://clerk.house.gov/evs/2022/roll178.xml" TargetMode="External" /><Relationship Type="http://schemas.openxmlformats.org/officeDocument/2006/relationships/hyperlink" Id="rId40" Target="http://clerk.house.gov/evs/2022/roll179.xml" TargetMode="External" /><Relationship Type="http://schemas.openxmlformats.org/officeDocument/2006/relationships/hyperlink" Id="rId30" Target="http://clerk.house.gov/evs/2022/roll180.xml" TargetMode="External" /><Relationship Type="http://schemas.openxmlformats.org/officeDocument/2006/relationships/hyperlink" Id="rId36" Target="http://clerk.house.gov/evs/2022/roll182.xml" TargetMode="External" /><Relationship Type="http://schemas.openxmlformats.org/officeDocument/2006/relationships/hyperlink" Id="rId45" Target="https://plus.cq.com/doc/committees-20220510486301?2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7" Target="https://plus.cq.com/vote/2022/H/178?4" TargetMode="External" /><Relationship Type="http://schemas.openxmlformats.org/officeDocument/2006/relationships/hyperlink" Id="rId41" Target="https://plus.cq.com/vote/2022/H/179?5" TargetMode="External" /><Relationship Type="http://schemas.openxmlformats.org/officeDocument/2006/relationships/hyperlink" Id="rId31" Target="https://plus.cq.com/vote/2022/H/180?6" TargetMode="External" /><Relationship Type="http://schemas.openxmlformats.org/officeDocument/2006/relationships/hyperlink" Id="rId37" Target="https://plus.cq.com/vote/2022/H/182?8" TargetMode="External" /><Relationship Type="http://schemas.openxmlformats.org/officeDocument/2006/relationships/hyperlink" Id="rId28" Target="https://www.congress.gov/amendment/117th-congress/house-amendment/202/actions?r=3&amp;s=a" TargetMode="External" /><Relationship Type="http://schemas.openxmlformats.org/officeDocument/2006/relationships/hyperlink" Id="rId42" Target="https://www.congress.gov/amendment/117th-congress/house-amendment/203/actions?r=2&amp;s=a" TargetMode="External" /><Relationship Type="http://schemas.openxmlformats.org/officeDocument/2006/relationships/hyperlink" Id="rId32" Target="https://www.congress.gov/amendment/117th-congress/house-amendment/204/actions?r=1&amp;s=a" TargetMode="External" /><Relationship Type="http://schemas.openxmlformats.org/officeDocument/2006/relationships/hyperlink" Id="rId22" Target="https://www.congress.gov/bill/117th-congress/house-bill/5129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