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gbtq"/>
    <w:p>
      <w:pPr>
        <w:pStyle w:val="Heading1"/>
      </w:pPr>
      <w:r>
        <w:t xml:space="preserve">LGBTQ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Marriage Equality</w:t>
      </w:r>
    </w:p>
    <w:p>
      <w:pPr>
        <w:numPr>
          <w:ilvl w:val="0"/>
          <w:numId w:val="1001"/>
        </w:numPr>
        <w:pStyle w:val="Compact"/>
      </w:pPr>
      <w:r>
        <w:t xml:space="preserve">Transgender Individuals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