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workforce-programs"/>
    <w:p>
      <w:pPr>
        <w:pStyle w:val="Heading1"/>
      </w:pPr>
      <w:r>
        <w:t xml:space="preserve">Workforce Programs</w:t>
      </w:r>
    </w:p>
    <w:bookmarkStart w:id="24" w:name="reauthorizations"/>
    <w:p>
      <w:pPr>
        <w:pStyle w:val="Heading3"/>
      </w:pPr>
      <w:r>
        <w:t xml:space="preserve">Reauthorizations</w:t>
      </w:r>
    </w:p>
    <w:p>
      <w:pPr>
        <w:pStyle w:val="FirstParagraph"/>
      </w:pPr>
      <w:r>
        <w:rPr>
          <w:bCs/>
          <w:b/>
        </w:rPr>
        <w:t xml:space="preserve">2024: Fitzpatrick Voted To Reauthorize The Workforce Innovation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Opportunity Act.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reauthorize</w:t>
      </w:r>
      <w:r>
        <w:t xml:space="preserve"> </w:t>
      </w:r>
      <w:r>
        <w:t xml:space="preserve">programs in the Workforce Innovation and Opportunity Act through fiscal</w:t>
      </w:r>
      <w:r>
        <w:t xml:space="preserve"> </w:t>
      </w:r>
      <w:r>
        <w:t xml:space="preserve">2030. In total, it would authorize $6.3 billion over the next five</w:t>
      </w:r>
      <w:r>
        <w:t xml:space="preserve"> </w:t>
      </w:r>
      <w:r>
        <w:t xml:space="preserve">years. It would also modify existing WIOA programs, expand certain</w:t>
      </w:r>
      <w:r>
        <w:t xml:space="preserve"> </w:t>
      </w:r>
      <w:r>
        <w:t xml:space="preserve">program eligibilities, streamline certain administrative requirements,</w:t>
      </w:r>
      <w:r>
        <w:t xml:space="preserve"> </w:t>
      </w:r>
      <w:r>
        <w:t xml:space="preserve">establish new priorities and performance indicators as well as repurpose</w:t>
      </w:r>
      <w:r>
        <w:t xml:space="preserve"> </w:t>
      </w:r>
      <w:r>
        <w:t xml:space="preserve">and reallocate funds to support new grant programs and accountability</w:t>
      </w:r>
      <w:r>
        <w:t xml:space="preserve"> </w:t>
      </w:r>
      <w:r>
        <w:t xml:space="preserve">measures.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378 to 26. [House Vote 105,</w:t>
      </w:r>
      <w:r>
        <w:t xml:space="preserve"> </w:t>
      </w:r>
      <w:hyperlink r:id="rId20">
        <w:r>
          <w:rPr>
            <w:rStyle w:val="Hyperlink"/>
          </w:rPr>
          <w:t xml:space="preserve">4/9/24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4/9/24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6655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Allocated Fifty Percent OF Funding To An Adult And</w:t>
      </w:r>
      <w:r>
        <w:rPr>
          <w:bCs/>
          <w:b/>
        </w:rPr>
        <w:t xml:space="preserve"> </w:t>
      </w:r>
      <w:r>
        <w:rPr>
          <w:bCs/>
          <w:b/>
        </w:rPr>
        <w:t xml:space="preserve">Dislocated Worker Program And Allowed States To Establish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Critical Industry Skills Fund</w:t>
      </w:r>
      <w:r>
        <w:rPr>
          <w:bCs/>
          <w:b/>
        </w:rPr>
        <w:t xml:space="preserve">”</w:t>
      </w:r>
      <w:r>
        <w:rPr>
          <w:bCs/>
          <w:b/>
        </w:rPr>
        <w:t xml:space="preserve">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One measure (HR 6655) would reauthorize and update</w:t>
      </w:r>
      <w:r>
        <w:t xml:space="preserve"> </w:t>
      </w:r>
      <w:r>
        <w:t xml:space="preserve">programs under a 2014 federal workforce development law. It would</w:t>
      </w:r>
      <w:r>
        <w:t xml:space="preserve"> </w:t>
      </w:r>
      <w:r>
        <w:t xml:space="preserve">allocate 50 percent of funding within the adult and dislocated</w:t>
      </w:r>
      <w:r>
        <w:t xml:space="preserve"> </w:t>
      </w:r>
      <w:r>
        <w:t xml:space="preserve">worker program for</w:t>
      </w:r>
      <w:r>
        <w:t xml:space="preserve"> </w:t>
      </w:r>
      <w:r>
        <w:t xml:space="preserve">‘</w:t>
      </w:r>
      <w:r>
        <w:t xml:space="preserve">individual training accounts,</w:t>
      </w:r>
      <w:r>
        <w:t xml:space="preserve">’</w:t>
      </w:r>
      <w:r>
        <w:t xml:space="preserve"> </w:t>
      </w:r>
      <w:r>
        <w:t xml:space="preserve">which would</w:t>
      </w:r>
      <w:r>
        <w:t xml:space="preserve"> </w:t>
      </w:r>
      <w:r>
        <w:t xml:space="preserve">provide certain eligible displaced workers with $5,000 to enroll in</w:t>
      </w:r>
      <w:r>
        <w:t xml:space="preserve"> </w:t>
      </w:r>
      <w:r>
        <w:t xml:space="preserve">high-quality reskilling programs, which teach workers a new set of</w:t>
      </w:r>
      <w:r>
        <w:t xml:space="preserve"> </w:t>
      </w:r>
      <w:r>
        <w:t xml:space="preserve">skills. It also would emphasize employer-led initiatives by allowing</w:t>
      </w:r>
      <w:r>
        <w:t xml:space="preserve"> </w:t>
      </w:r>
      <w:r>
        <w:t xml:space="preserve">states to establish a</w:t>
      </w:r>
      <w:r>
        <w:t xml:space="preserve"> </w:t>
      </w:r>
      <w:r>
        <w:t xml:space="preserve">‘</w:t>
      </w:r>
      <w:r>
        <w:t xml:space="preserve">critical industry skills fund</w:t>
      </w:r>
      <w:r>
        <w:t xml:space="preserve">’</w:t>
      </w:r>
      <w:r>
        <w:t xml:space="preserve"> </w:t>
      </w:r>
      <w:r>
        <w:t xml:space="preserve">to reimburse</w:t>
      </w:r>
      <w:r>
        <w:t xml:space="preserve"> </w:t>
      </w:r>
      <w:r>
        <w:t xml:space="preserve">employers for teaching workers additional skills related to their</w:t>
      </w:r>
      <w:r>
        <w:t xml:space="preserve"> </w:t>
      </w:r>
      <w:r>
        <w:t xml:space="preserve">current job, also known as upskilling, among other changes to the</w:t>
      </w:r>
      <w:r>
        <w:t xml:space="preserve"> </w:t>
      </w:r>
      <w:r>
        <w:t xml:space="preserve">underlying law.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12/12/23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105.xml" TargetMode="External" /><Relationship Type="http://schemas.openxmlformats.org/officeDocument/2006/relationships/hyperlink" Id="rId23" Target="https://plus.cq.com/doc/committees-20231212519714?9" TargetMode="External" /><Relationship Type="http://schemas.openxmlformats.org/officeDocument/2006/relationships/hyperlink" Id="rId21" Target="https://plus.cq.com/vote/2024/H/105?6" TargetMode="External" /><Relationship Type="http://schemas.openxmlformats.org/officeDocument/2006/relationships/hyperlink" Id="rId22" Target="https://www.congress.gov/bill/118th-congress/house-bill/665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105.xml" TargetMode="External" /><Relationship Type="http://schemas.openxmlformats.org/officeDocument/2006/relationships/hyperlink" Id="rId23" Target="https://plus.cq.com/doc/committees-20231212519714?9" TargetMode="External" /><Relationship Type="http://schemas.openxmlformats.org/officeDocument/2006/relationships/hyperlink" Id="rId21" Target="https://plus.cq.com/vote/2024/H/105?6" TargetMode="External" /><Relationship Type="http://schemas.openxmlformats.org/officeDocument/2006/relationships/hyperlink" Id="rId22" Target="https://www.congress.gov/bill/118th-congress/house-bill/665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