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worker-safety"/>
    <w:p>
      <w:pPr>
        <w:pStyle w:val="Heading1"/>
      </w:pPr>
      <w:r>
        <w:t xml:space="preserve">Worker Safety</w:t>
      </w:r>
    </w:p>
    <w:bookmarkStart w:id="25" w:name="miner-safety"/>
    <w:p>
      <w:pPr>
        <w:pStyle w:val="Heading3"/>
      </w:pPr>
      <w:r>
        <w:t xml:space="preserve">Miner Safety</w:t>
      </w:r>
    </w:p>
    <w:p>
      <w:pPr>
        <w:pStyle w:val="FirstParagraph"/>
      </w:pPr>
      <w:r>
        <w:rPr>
          <w:bCs/>
          <w:b/>
        </w:rPr>
        <w:t xml:space="preserve">2017: Fitzpatrick Voted Against Cutting 10 Percent Of The Coal Mine</w:t>
      </w:r>
      <w:r>
        <w:rPr>
          <w:bCs/>
          <w:b/>
        </w:rPr>
        <w:t xml:space="preserve"> </w:t>
      </w:r>
      <w:r>
        <w:rPr>
          <w:bCs/>
          <w:b/>
        </w:rPr>
        <w:t xml:space="preserve">Safety And Health Program Funding.</w:t>
      </w:r>
      <w:r>
        <w:t xml:space="preserve"> </w:t>
      </w:r>
      <w:r>
        <w:t xml:space="preserve">In September 2017, Fitzpatrick</w:t>
      </w:r>
      <w:r>
        <w:t xml:space="preserve"> </w:t>
      </w:r>
      <w:r>
        <w:t xml:space="preserve">voted 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reduce the funding for the Coal Mine Safety and Health</w:t>
      </w:r>
      <w:r>
        <w:t xml:space="preserve"> </w:t>
      </w:r>
      <w:r>
        <w:t xml:space="preserve">program by 10 percent.</w:t>
      </w:r>
      <w:r>
        <w:t xml:space="preserve">”</w:t>
      </w:r>
      <w:r>
        <w:t xml:space="preserve"> </w:t>
      </w:r>
      <w:r>
        <w:t xml:space="preserve">More specifically, according to the text of the</w:t>
      </w:r>
      <w:r>
        <w:t xml:space="preserve"> </w:t>
      </w:r>
      <w:r>
        <w:t xml:space="preserve">amendment,</w:t>
      </w:r>
      <w:r>
        <w:t xml:space="preserve"> </w:t>
      </w:r>
      <w:r>
        <w:t xml:space="preserve">“</w:t>
      </w:r>
      <w:r>
        <w:t xml:space="preserve">The Coal Mine Safety and Health program area of the Mine</w:t>
      </w:r>
      <w:r>
        <w:t xml:space="preserve"> </w:t>
      </w:r>
      <w:r>
        <w:t xml:space="preserve">Safety and Health Administration, comprising 964 employees, with annual</w:t>
      </w:r>
      <w:r>
        <w:t xml:space="preserve"> </w:t>
      </w:r>
      <w:r>
        <w:t xml:space="preserve">salaries aggregating $78,970,000, is hereby reduced by 10 percent</w:t>
      </w:r>
      <w:r>
        <w:t xml:space="preserve"> </w:t>
      </w:r>
      <w:r>
        <w:t xml:space="preserve">(comprising 96 employees, with annual salaries aggregating</w:t>
      </w:r>
      <w:r>
        <w:t xml:space="preserve"> </w:t>
      </w:r>
      <w:r>
        <w:t xml:space="preserve">$7,897,000).</w:t>
      </w:r>
      <w:r>
        <w:t xml:space="preserve">”</w:t>
      </w:r>
      <w:r>
        <w:t xml:space="preserve"> </w:t>
      </w:r>
      <w:r>
        <w:t xml:space="preserve">The underlying legislation was a legislative vehicle for</w:t>
      </w:r>
      <w:r>
        <w:t xml:space="preserve"> </w:t>
      </w:r>
      <w:r>
        <w:t xml:space="preserve">an FY 2018 Omnibus appropriations bill. The House rejected the amendment</w:t>
      </w:r>
      <w:r>
        <w:t xml:space="preserve"> </w:t>
      </w:r>
      <w:r>
        <w:t xml:space="preserve">by a vote of 178 to 238. [House Vote 511,</w:t>
      </w:r>
      <w:r>
        <w:t xml:space="preserve"> </w:t>
      </w:r>
      <w:hyperlink r:id="rId20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9/13/17</w:t>
        </w:r>
      </w:hyperlink>
      <w:r>
        <w:t xml:space="preserve">; Congress.gov,</w:t>
      </w:r>
      <w:r>
        <w:t xml:space="preserve"> </w:t>
      </w:r>
      <w:hyperlink r:id="rId22">
        <w:r>
          <w:rPr>
            <w:rStyle w:val="Hyperlink"/>
          </w:rPr>
          <w:t xml:space="preserve">H.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25"/>
    <w:bookmarkStart w:id="29" w:name="reporting-requirements"/>
    <w:p>
      <w:pPr>
        <w:pStyle w:val="Heading3"/>
      </w:pPr>
      <w:r>
        <w:t xml:space="preserve">Reporting Requirements</w:t>
      </w:r>
    </w:p>
    <w:p>
      <w:pPr>
        <w:pStyle w:val="FirstParagraph"/>
      </w:pPr>
      <w:r>
        <w:rPr>
          <w:bCs/>
          <w:b/>
        </w:rPr>
        <w:t xml:space="preserve">2017: Fitzpatrick Voted To Disapprove An OSHA Rule That Allowed OSHA</w:t>
      </w:r>
      <w:r>
        <w:rPr>
          <w:bCs/>
          <w:b/>
        </w:rPr>
        <w:t xml:space="preserve"> </w:t>
      </w:r>
      <w:r>
        <w:rPr>
          <w:bCs/>
          <w:b/>
        </w:rPr>
        <w:t xml:space="preserve">To Cite An Employer For Failing To Maintain Records Of Workplace Injury</w:t>
      </w:r>
      <w:r>
        <w:rPr>
          <w:bCs/>
          <w:b/>
        </w:rPr>
        <w:t xml:space="preserve"> </w:t>
      </w:r>
      <w:r>
        <w:rPr>
          <w:bCs/>
          <w:b/>
        </w:rPr>
        <w:t xml:space="preserve">Or Illness For Five Years After The Record Should Have Been Created.</w:t>
      </w:r>
      <w:r>
        <w:t xml:space="preserve"> </w:t>
      </w:r>
      <w:r>
        <w:t xml:space="preserve">In March 2017, Fitzpatrick voted for disapproving an OSHA rule on</w:t>
      </w:r>
      <w:r>
        <w:t xml:space="preserve"> </w:t>
      </w:r>
      <w:r>
        <w:t xml:space="preserve">workplace illness records via the Congressional Review Act.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resolution disapproves the rule issued by</w:t>
      </w:r>
      <w:r>
        <w:t xml:space="preserve"> </w:t>
      </w:r>
      <w:r>
        <w:t xml:space="preserve">the Occupational Safety and Health Administration (OSHA) on Dec. 19,</w:t>
      </w:r>
      <w:r>
        <w:t xml:space="preserve"> </w:t>
      </w:r>
      <w:r>
        <w:t xml:space="preserve">2016, which extended to five years the period for which an employer can</w:t>
      </w:r>
      <w:r>
        <w:t xml:space="preserve"> </w:t>
      </w:r>
      <w:r>
        <w:t xml:space="preserve">be cited for failing to make and maintain a record of workplace injury</w:t>
      </w:r>
      <w:r>
        <w:t xml:space="preserve"> </w:t>
      </w:r>
      <w:r>
        <w:t xml:space="preserve">or illness. The measure provides that the rule (formally know as the</w:t>
      </w:r>
      <w:r>
        <w:t xml:space="preserve"> </w:t>
      </w:r>
      <w:r>
        <w:t xml:space="preserve">Clarification of Employer’s Continuing Obligation to Make and Maintain</w:t>
      </w:r>
      <w:r>
        <w:t xml:space="preserve"> </w:t>
      </w:r>
      <w:r>
        <w:t xml:space="preserve">an Accurate Record of Each Recordable Injury and Illness Rule) will have</w:t>
      </w:r>
      <w:r>
        <w:t xml:space="preserve"> </w:t>
      </w:r>
      <w:r>
        <w:t xml:space="preserve">no force or effect.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measure by a vote of 231 to 191. The legislation was signed into law by</w:t>
      </w:r>
      <w:r>
        <w:t xml:space="preserve"> </w:t>
      </w:r>
      <w:r>
        <w:t xml:space="preserve">the president. [House Vote 121,</w:t>
      </w:r>
      <w:r>
        <w:t xml:space="preserve"> </w:t>
      </w:r>
      <w:hyperlink r:id="rId26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2/24/17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Current Law Requires That Employers Retain Employee Records Of</w:t>
      </w:r>
      <w:r>
        <w:rPr>
          <w:bCs/>
          <w:b/>
        </w:rPr>
        <w:t xml:space="preserve"> </w:t>
      </w:r>
      <w:r>
        <w:rPr>
          <w:bCs/>
          <w:b/>
        </w:rPr>
        <w:t xml:space="preserve">Injury Or Illness On The Job Within Seven Days; Records Must Be Kept</w:t>
      </w:r>
      <w:r>
        <w:rPr>
          <w:bCs/>
          <w:b/>
        </w:rPr>
        <w:t xml:space="preserve"> </w:t>
      </w:r>
      <w:r>
        <w:rPr>
          <w:bCs/>
          <w:b/>
        </w:rPr>
        <w:t xml:space="preserve">For Five 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law</w:t>
      </w:r>
      <w:r>
        <w:t xml:space="preserve"> </w:t>
      </w:r>
      <w:r>
        <w:t xml:space="preserve">requires employers to record certain specified employee injuries and</w:t>
      </w:r>
      <w:r>
        <w:t xml:space="preserve"> </w:t>
      </w:r>
      <w:r>
        <w:t xml:space="preserve">illnesses that occur in the workplace so that information can be</w:t>
      </w:r>
      <w:r>
        <w:t xml:space="preserve"> </w:t>
      </w:r>
      <w:r>
        <w:t xml:space="preserve">used to enhance safety. The information is used by employers so they</w:t>
      </w:r>
      <w:r>
        <w:t xml:space="preserve"> </w:t>
      </w:r>
      <w:r>
        <w:t xml:space="preserve">can address recurring issues; by the Occupational Safety and Health</w:t>
      </w:r>
      <w:r>
        <w:t xml:space="preserve"> </w:t>
      </w:r>
      <w:r>
        <w:t xml:space="preserve">Administration (OSHA) so it can determine workplace hazards and</w:t>
      </w:r>
      <w:r>
        <w:t xml:space="preserve"> </w:t>
      </w:r>
      <w:r>
        <w:t xml:space="preserve">possibly address them through future regulations; and by the Bureau</w:t>
      </w:r>
      <w:r>
        <w:t xml:space="preserve"> </w:t>
      </w:r>
      <w:r>
        <w:t xml:space="preserve">of Labor Statistics to determine the most hazardous occupations and</w:t>
      </w:r>
      <w:r>
        <w:t xml:space="preserve"> </w:t>
      </w:r>
      <w:r>
        <w:t xml:space="preserve">inform the public. Under the law, employers are required to record</w:t>
      </w:r>
      <w:r>
        <w:t xml:space="preserve"> </w:t>
      </w:r>
      <w:r>
        <w:t xml:space="preserve">an injury or illness within seven days of when it occurs, and to</w:t>
      </w:r>
      <w:r>
        <w:t xml:space="preserve"> </w:t>
      </w:r>
      <w:r>
        <w:t xml:space="preserve">annually compile and submit to OSHA a complete record of workplace</w:t>
      </w:r>
      <w:r>
        <w:t xml:space="preserve"> </w:t>
      </w:r>
      <w:r>
        <w:t xml:space="preserve">injuries and illnesses. That annual record must be retained for five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2/24/17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OSHA Had Been Issuing Citations For As Far Back As Five Years; A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Appeals Court Said That The Law Only Allowed For Up To Six</w:t>
      </w:r>
      <w:r>
        <w:rPr>
          <w:bCs/>
          <w:b/>
        </w:rPr>
        <w:t xml:space="preserve"> </w:t>
      </w:r>
      <w:r>
        <w:rPr>
          <w:bCs/>
          <w:b/>
        </w:rPr>
        <w:t xml:space="preserve">Months And The New Rule Was Designed To Codify The Five Year</w:t>
      </w:r>
      <w:r>
        <w:rPr>
          <w:bCs/>
          <w:b/>
        </w:rPr>
        <w:t xml:space="preserve"> </w:t>
      </w:r>
      <w:r>
        <w:rPr>
          <w:bCs/>
          <w:b/>
        </w:rPr>
        <w:t xml:space="preserve">Allowance.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OSHA's practice</w:t>
      </w:r>
      <w:r>
        <w:t xml:space="preserve"> </w:t>
      </w:r>
      <w:r>
        <w:t xml:space="preserve">of issuing citations for injury record-keeping violations as far</w:t>
      </w:r>
      <w:r>
        <w:t xml:space="preserve"> </w:t>
      </w:r>
      <w:r>
        <w:t xml:space="preserve">back as five years after they occurred has been subject to</w:t>
      </w:r>
      <w:r>
        <w:t xml:space="preserve"> </w:t>
      </w:r>
      <w:r>
        <w:t xml:space="preserve">challenges dating back to 1993, but it was repeatedly upheld by the</w:t>
      </w:r>
      <w:r>
        <w:t xml:space="preserve"> </w:t>
      </w:r>
      <w:r>
        <w:t xml:space="preserve">Occupational Safety and Health Review Commission, most recently in a</w:t>
      </w:r>
      <w:r>
        <w:t xml:space="preserve"> </w:t>
      </w:r>
      <w:r>
        <w:t xml:space="preserve">2011 decision. In 2012, however, a three-judge panel for the U.S.</w:t>
      </w:r>
      <w:r>
        <w:t xml:space="preserve"> </w:t>
      </w:r>
      <w:r>
        <w:t xml:space="preserve">Court of Appeals for the District of Columbia Circuit ruled that the</w:t>
      </w:r>
      <w:r>
        <w:t xml:space="preserve"> </w:t>
      </w:r>
      <w:r>
        <w:t xml:space="preserve">1970 Occupational Safety and Health Act does not authorize OSHA to</w:t>
      </w:r>
      <w:r>
        <w:t xml:space="preserve"> </w:t>
      </w:r>
      <w:r>
        <w:t xml:space="preserve">‘</w:t>
      </w:r>
      <w:r>
        <w:t xml:space="preserve">cite the employer for a record-making violation more than six</w:t>
      </w:r>
      <w:r>
        <w:t xml:space="preserve"> </w:t>
      </w:r>
      <w:r>
        <w:t xml:space="preserve">months after the recording failure,</w:t>
      </w:r>
      <w:r>
        <w:t xml:space="preserve">’</w:t>
      </w:r>
      <w:r>
        <w:t xml:space="preserve"> </w:t>
      </w:r>
      <w:r>
        <w:t xml:space="preserve">saying that citations must be</w:t>
      </w:r>
      <w:r>
        <w:t xml:space="preserve"> </w:t>
      </w:r>
      <w:r>
        <w:t xml:space="preserve">issued within six months of the occurrence. In a separate and</w:t>
      </w:r>
      <w:r>
        <w:t xml:space="preserve"> </w:t>
      </w:r>
      <w:r>
        <w:t xml:space="preserve">concurring opinion, Appeals Court Judge Merrick Garland stated that</w:t>
      </w:r>
      <w:r>
        <w:t xml:space="preserve"> </w:t>
      </w:r>
      <w:r>
        <w:t xml:space="preserve">as he interpreted the 1970 law, OSHA could issue citations for</w:t>
      </w:r>
      <w:r>
        <w:t xml:space="preserve"> </w:t>
      </w:r>
      <w:r>
        <w:t xml:space="preserve">continuing violations of record-keeping requirements going back five</w:t>
      </w:r>
      <w:r>
        <w:t xml:space="preserve"> </w:t>
      </w:r>
      <w:r>
        <w:t xml:space="preserve">years — but that OSHA had never issued rules to implement that</w:t>
      </w:r>
      <w:r>
        <w:t xml:space="preserve"> </w:t>
      </w:r>
      <w:r>
        <w:t xml:space="preserve">authority. Consequently, rather than appealing the court’s decision,</w:t>
      </w:r>
      <w:r>
        <w:t xml:space="preserve"> </w:t>
      </w:r>
      <w:r>
        <w:t xml:space="preserve">OSHA conducted a rule-making to clarify its existing rules and</w:t>
      </w:r>
      <w:r>
        <w:t xml:space="preserve"> </w:t>
      </w:r>
      <w:r>
        <w:t xml:space="preserve">expressly authorize citations for failure to record an injury or</w:t>
      </w:r>
      <w:r>
        <w:t xml:space="preserve"> </w:t>
      </w:r>
      <w:r>
        <w:t xml:space="preserve">illness as far back as five years. OSHA’s clarification rule was</w:t>
      </w:r>
      <w:r>
        <w:t xml:space="preserve"> </w:t>
      </w:r>
      <w:r>
        <w:t xml:space="preserve">published on Dec. 19, 2016, and took effect on Jan. 18, 2017.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2/24/17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Supporters Of The Rule Say That The Law Requires Employers To Keep</w:t>
      </w:r>
      <w:r>
        <w:rPr>
          <w:bCs/>
          <w:b/>
        </w:rPr>
        <w:t xml:space="preserve"> </w:t>
      </w:r>
      <w:r>
        <w:rPr>
          <w:bCs/>
          <w:b/>
        </w:rPr>
        <w:t xml:space="preserve">The Records For Five 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 resolution, primarily Democrats, say OSHA’s rule</w:t>
      </w:r>
      <w:r>
        <w:t xml:space="preserve"> </w:t>
      </w:r>
      <w:r>
        <w:t xml:space="preserve">simply provides the regulatory authority that the courts say was</w:t>
      </w:r>
      <w:r>
        <w:t xml:space="preserve"> </w:t>
      </w:r>
      <w:r>
        <w:t xml:space="preserve">granted by the 1970 law, and that it returns the workplace injury</w:t>
      </w:r>
      <w:r>
        <w:t xml:space="preserve"> </w:t>
      </w:r>
      <w:r>
        <w:t xml:space="preserve">and illness record-keeping standard to the practice that has been</w:t>
      </w:r>
      <w:r>
        <w:t xml:space="preserve"> </w:t>
      </w:r>
      <w:r>
        <w:t xml:space="preserve">successfully enforced by OSHA for decades. Noting that employers are</w:t>
      </w:r>
      <w:r>
        <w:t xml:space="preserve"> </w:t>
      </w:r>
      <w:r>
        <w:t xml:space="preserve">supposed to record an injury or illness within seven days of when it</w:t>
      </w:r>
      <w:r>
        <w:t xml:space="preserve"> </w:t>
      </w:r>
      <w:r>
        <w:t xml:space="preserve">occurs, they say that allowing citations during the entire five-year</w:t>
      </w:r>
      <w:r>
        <w:t xml:space="preserve"> </w:t>
      </w:r>
      <w:r>
        <w:t xml:space="preserve">record retention period simply enables OSHA to review for patterns</w:t>
      </w:r>
      <w:r>
        <w:t xml:space="preserve"> </w:t>
      </w:r>
      <w:r>
        <w:t xml:space="preserve">of employer negligence and appropriately punish those who do not</w:t>
      </w:r>
      <w:r>
        <w:t xml:space="preserve"> </w:t>
      </w:r>
      <w:r>
        <w:t xml:space="preserve">look out for their employees, which will encourage businesses to</w:t>
      </w:r>
      <w:r>
        <w:t xml:space="preserve"> </w:t>
      </w:r>
      <w:r>
        <w:t xml:space="preserve">comply with the reporting requirement.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2/24/17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17/roll121.xml" TargetMode="External" /><Relationship Type="http://schemas.openxmlformats.org/officeDocument/2006/relationships/hyperlink" Id="rId20" Target="http://clerk.house.gov/evs/2017/roll511.xml" TargetMode="External" /><Relationship Type="http://schemas.openxmlformats.org/officeDocument/2006/relationships/hyperlink" Id="rId21" Target="http://cq.com/vote/2017/H/511?5" TargetMode="External" /><Relationship Type="http://schemas.openxmlformats.org/officeDocument/2006/relationships/hyperlink" Id="rId27" Target="http://www.cq.com/doc/har-5049081/9?94" TargetMode="External" /><Relationship Type="http://schemas.openxmlformats.org/officeDocument/2006/relationships/hyperlink" Id="rId23" Target="https://www.congress.gov/amendment/115th-congress/house-amendment/418/actions" TargetMode="External" /><Relationship Type="http://schemas.openxmlformats.org/officeDocument/2006/relationships/hyperlink" Id="rId22" Target="https://www.congress.gov/amendment/115th-congress/house-amendment/418/text" TargetMode="External" /><Relationship Type="http://schemas.openxmlformats.org/officeDocument/2006/relationships/hyperlink" Id="rId24" Target="https://www.congress.gov/bill/115th-congress/house-bill/3354/all-actions" TargetMode="External" /><Relationship Type="http://schemas.openxmlformats.org/officeDocument/2006/relationships/hyperlink" Id="rId28" Target="https://www.congress.gov/bill/115th-congress/house-joint-resolution/8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17/roll121.xml" TargetMode="External" /><Relationship Type="http://schemas.openxmlformats.org/officeDocument/2006/relationships/hyperlink" Id="rId20" Target="http://clerk.house.gov/evs/2017/roll511.xml" TargetMode="External" /><Relationship Type="http://schemas.openxmlformats.org/officeDocument/2006/relationships/hyperlink" Id="rId21" Target="http://cq.com/vote/2017/H/511?5" TargetMode="External" /><Relationship Type="http://schemas.openxmlformats.org/officeDocument/2006/relationships/hyperlink" Id="rId27" Target="http://www.cq.com/doc/har-5049081/9?94" TargetMode="External" /><Relationship Type="http://schemas.openxmlformats.org/officeDocument/2006/relationships/hyperlink" Id="rId23" Target="https://www.congress.gov/amendment/115th-congress/house-amendment/418/actions" TargetMode="External" /><Relationship Type="http://schemas.openxmlformats.org/officeDocument/2006/relationships/hyperlink" Id="rId22" Target="https://www.congress.gov/amendment/115th-congress/house-amendment/418/text" TargetMode="External" /><Relationship Type="http://schemas.openxmlformats.org/officeDocument/2006/relationships/hyperlink" Id="rId24" Target="https://www.congress.gov/bill/115th-congress/house-bill/3354/all-actions" TargetMode="External" /><Relationship Type="http://schemas.openxmlformats.org/officeDocument/2006/relationships/hyperlink" Id="rId28" Target="https://www.congress.gov/bill/115th-congress/house-joint-resolution/8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