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outsourcing"/>
    <w:p>
      <w:pPr>
        <w:pStyle w:val="Heading1"/>
      </w:pPr>
      <w:r>
        <w:t xml:space="preserve">Outsourcing</w:t>
      </w:r>
    </w:p>
    <w:bookmarkStart w:id="23" w:name="disclosure-of-employees-location"/>
    <w:p>
      <w:pPr>
        <w:pStyle w:val="Heading3"/>
      </w:pPr>
      <w:r>
        <w:t xml:space="preserve">Disclosure Of Employees Location</w:t>
      </w:r>
    </w:p>
    <w:p>
      <w:pPr>
        <w:pStyle w:val="FirstParagraph"/>
      </w:pPr>
      <w:r>
        <w:rPr>
          <w:bCs/>
          <w:b/>
        </w:rPr>
        <w:t xml:space="preserve">2019: Fitzpatrick Voted Against Making It More Difficult For Publicly</w:t>
      </w:r>
      <w:r>
        <w:rPr>
          <w:bCs/>
          <w:b/>
        </w:rPr>
        <w:t xml:space="preserve"> </w:t>
      </w:r>
      <w:r>
        <w:rPr>
          <w:bCs/>
          <w:b/>
        </w:rPr>
        <w:t xml:space="preserve">Traded Companies To Hide Offshoring Jobs.</w:t>
      </w:r>
      <w:r>
        <w:t xml:space="preserve"> </w:t>
      </w:r>
      <w:r>
        <w:t xml:space="preserve">In October 2019, Fitzpatrick</w:t>
      </w:r>
      <w:r>
        <w:t xml:space="preserve"> </w:t>
      </w:r>
      <w:r>
        <w:t xml:space="preserve">voted against a bill that would, according to Congressional Quarterly,</w:t>
      </w:r>
      <w:r>
        <w:t xml:space="preserve"> </w:t>
      </w:r>
      <w:r>
        <w:t xml:space="preserve">“</w:t>
      </w:r>
      <w:r>
        <w:t xml:space="preserve">require publicly traded companies to disclose the total number and</w:t>
      </w:r>
      <w:r>
        <w:t xml:space="preserve"> </w:t>
      </w:r>
      <w:r>
        <w:t xml:space="preserve">percentage of their employees who are based in each state, U.S.</w:t>
      </w:r>
      <w:r>
        <w:t xml:space="preserve"> </w:t>
      </w:r>
      <w:r>
        <w:t xml:space="preserve">territory, and foreign country. It would require such information</w:t>
      </w:r>
      <w:r>
        <w:t xml:space="preserve"> </w:t>
      </w:r>
      <w:r>
        <w:t xml:space="preserve">disclosed to be disaggregated by state, territory, or country and to</w:t>
      </w:r>
      <w:r>
        <w:t xml:space="preserve"> </w:t>
      </w:r>
      <w:r>
        <w:t xml:space="preserve">include percentage changes from the company's last annual report. It</w:t>
      </w:r>
      <w:r>
        <w:t xml:space="preserve"> </w:t>
      </w:r>
      <w:r>
        <w:t xml:space="preserve">would exempt small and new</w:t>
      </w:r>
      <w:r>
        <w:t xml:space="preserve"> </w:t>
      </w:r>
      <w:r>
        <w:t xml:space="preserve">‘</w:t>
      </w:r>
      <w:r>
        <w:t xml:space="preserve">emerging growth</w:t>
      </w:r>
      <w:r>
        <w:t xml:space="preserve">’</w:t>
      </w:r>
      <w:r>
        <w:t xml:space="preserve"> </w:t>
      </w:r>
      <w:r>
        <w:t xml:space="preserve">companies from the bill's</w:t>
      </w:r>
      <w:r>
        <w:t xml:space="preserve"> </w:t>
      </w:r>
      <w:r>
        <w:t xml:space="preserve">disclosure requirements. It would authorize SEC rulemaking authority to</w:t>
      </w:r>
      <w:r>
        <w:t xml:space="preserve"> </w:t>
      </w:r>
      <w:r>
        <w:t xml:space="preserve">implement the bill's provisions.</w:t>
      </w:r>
      <w:r>
        <w:t xml:space="preserve">”</w:t>
      </w:r>
      <w:r>
        <w:t xml:space="preserve"> </w:t>
      </w:r>
      <w:r>
        <w:t xml:space="preserve">The vote was passage. The House</w:t>
      </w:r>
      <w:r>
        <w:t xml:space="preserve"> </w:t>
      </w:r>
      <w:r>
        <w:t xml:space="preserve">passed the bill by a vote of 226-184. The bill was never taken up in the</w:t>
      </w:r>
      <w:r>
        <w:t xml:space="preserve"> </w:t>
      </w:r>
      <w:r>
        <w:t xml:space="preserve">Senate. [House Vote 567,</w:t>
      </w:r>
      <w:r>
        <w:t xml:space="preserve"> </w:t>
      </w:r>
      <w:hyperlink r:id="rId20">
        <w:r>
          <w:rPr>
            <w:rStyle w:val="Hyperlink"/>
          </w:rPr>
          <w:t xml:space="preserve">10/18/19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10/18/19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H.R.3624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567.xml" TargetMode="External" /><Relationship Type="http://schemas.openxmlformats.org/officeDocument/2006/relationships/hyperlink" Id="rId21" Target="https://plus.cq.com/vote/2019/H/567?4" TargetMode="External" /><Relationship Type="http://schemas.openxmlformats.org/officeDocument/2006/relationships/hyperlink" Id="rId22" Target="https://www.congress.gov/bill/116th-congress/house-bill/362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567.xml" TargetMode="External" /><Relationship Type="http://schemas.openxmlformats.org/officeDocument/2006/relationships/hyperlink" Id="rId21" Target="https://plus.cq.com/vote/2019/H/567?4" TargetMode="External" /><Relationship Type="http://schemas.openxmlformats.org/officeDocument/2006/relationships/hyperlink" Id="rId22" Target="https://www.congress.gov/bill/116th-congress/house-bill/362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