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nglish-as-the-national-language"/>
    <w:p>
      <w:pPr>
        <w:pStyle w:val="Heading1"/>
      </w:pPr>
      <w:r>
        <w:t xml:space="preserve">English As The National Language</w:t>
      </w:r>
    </w:p>
    <w:bookmarkStart w:id="24" w:name="domestic-violence"/>
    <w:p>
      <w:pPr>
        <w:pStyle w:val="Heading3"/>
      </w:pPr>
      <w:r>
        <w:t xml:space="preserve">Domestic Violence</w:t>
      </w:r>
    </w:p>
    <w:p>
      <w:pPr>
        <w:pStyle w:val="FirstParagraph"/>
      </w:pPr>
      <w:r>
        <w:rPr>
          <w:bCs/>
          <w:b/>
        </w:rPr>
        <w:t xml:space="preserve">2019: Fitzpatrick Voted To Require The Labor Secretary Have Materials</w:t>
      </w:r>
      <w:r>
        <w:rPr>
          <w:bCs/>
          <w:b/>
        </w:rPr>
        <w:t xml:space="preserve"> </w:t>
      </w:r>
      <w:r>
        <w:rPr>
          <w:bCs/>
          <w:b/>
        </w:rPr>
        <w:t xml:space="preserve">Or Resources For Domestic Violence Be Available In Non-English If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Commonly Encountered.</w:t>
      </w:r>
      <w:r>
        <w:rPr>
          <w:bCs/>
          <w:b/>
        </w:rPr>
        <w:t xml:space="preserve">”</w:t>
      </w:r>
      <w:r>
        <w:t xml:space="preserve"> </w:t>
      </w:r>
      <w:r>
        <w:t xml:space="preserve">In April 2019, Fitzpatrick voted for an</w:t>
      </w:r>
      <w:r>
        <w:t xml:space="preserve"> </w:t>
      </w:r>
      <w:r>
        <w:t xml:space="preserve">amendment that would have, according to Congressional Quarterly, ”</w:t>
      </w:r>
      <w:r>
        <w:t xml:space="preserve"> </w:t>
      </w:r>
      <w:r>
        <w:t xml:space="preserve">require the secretary of Labor to ensure any information or materials on</w:t>
      </w:r>
      <w:r>
        <w:t xml:space="preserve"> </w:t>
      </w:r>
      <w:r>
        <w:t xml:space="preserve">resources for domestic violence survivors distributed by various federal</w:t>
      </w:r>
      <w:r>
        <w:t xml:space="preserve"> </w:t>
      </w:r>
      <w:r>
        <w:t xml:space="preserve">agencies be distributed in other</w:t>
      </w:r>
      <w:r>
        <w:t xml:space="preserve"> </w:t>
      </w:r>
      <w:r>
        <w:t xml:space="preserve">‘</w:t>
      </w:r>
      <w:r>
        <w:t xml:space="preserve">commonly encountered</w:t>
      </w:r>
      <w:r>
        <w:t xml:space="preserve">’</w:t>
      </w:r>
      <w:r>
        <w:t xml:space="preserve"> </w:t>
      </w:r>
      <w:r>
        <w:t xml:space="preserve">languages.” The</w:t>
      </w:r>
      <w:r>
        <w:t xml:space="preserve"> </w:t>
      </w:r>
      <w:r>
        <w:t xml:space="preserve">underlying legislation reauthorized the Violence Against Women Act. The</w:t>
      </w:r>
      <w:r>
        <w:t xml:space="preserve"> </w:t>
      </w:r>
      <w:r>
        <w:t xml:space="preserve">House adopted the amendment by a vote of 363 to 67. The House later</w:t>
      </w:r>
      <w:r>
        <w:t xml:space="preserve"> </w:t>
      </w:r>
      <w:r>
        <w:t xml:space="preserve">passed the underlying bill. [House Vote 147,</w:t>
      </w:r>
      <w:r>
        <w:t xml:space="preserve"> </w:t>
      </w:r>
      <w:hyperlink r:id="rId20">
        <w:r>
          <w:rPr>
            <w:rStyle w:val="Hyperlink"/>
          </w:rPr>
          <w:t xml:space="preserve">4/3/19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4/3/19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47.xml" TargetMode="External" /><Relationship Type="http://schemas.openxmlformats.org/officeDocument/2006/relationships/hyperlink" Id="rId21" Target="http://cq.com/vote/2019/H/147?22" TargetMode="External" /><Relationship Type="http://schemas.openxmlformats.org/officeDocument/2006/relationships/hyperlink" Id="rId22" Target="https://www.congress.gov/amendment/116th-congress/house-amendment/117/actions" TargetMode="External" /><Relationship Type="http://schemas.openxmlformats.org/officeDocument/2006/relationships/hyperlink" Id="rId23" Target="https://www.congress.gov/bill/116th-congress/house-bill/15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47.xml" TargetMode="External" /><Relationship Type="http://schemas.openxmlformats.org/officeDocument/2006/relationships/hyperlink" Id="rId21" Target="http://cq.com/vote/2019/H/147?22" TargetMode="External" /><Relationship Type="http://schemas.openxmlformats.org/officeDocument/2006/relationships/hyperlink" Id="rId22" Target="https://www.congress.gov/amendment/116th-congress/house-amendment/117/actions" TargetMode="External" /><Relationship Type="http://schemas.openxmlformats.org/officeDocument/2006/relationships/hyperlink" Id="rId23" Target="https://www.congress.gov/bill/116th-congress/house-bill/15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