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community-development-block-grant"/>
    <w:p>
      <w:pPr>
        <w:pStyle w:val="Heading1"/>
      </w:pPr>
      <w:r>
        <w:t xml:space="preserve">Community Development Block Grant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Against An Amendment That Would Have Decreased</w:t>
      </w:r>
      <w:r>
        <w:rPr>
          <w:bCs/>
          <w:b/>
        </w:rPr>
        <w:t xml:space="preserve"> </w:t>
      </w:r>
      <w:r>
        <w:rPr>
          <w:bCs/>
          <w:b/>
        </w:rPr>
        <w:t xml:space="preserve">Funding For The Community Development Block Grant By $300 Million.</w:t>
      </w:r>
      <w:r>
        <w:t xml:space="preserve"> </w:t>
      </w:r>
      <w:r>
        <w:t xml:space="preserve">In</w:t>
      </w:r>
      <w:r>
        <w:t xml:space="preserve"> </w:t>
      </w:r>
      <w:r>
        <w:t xml:space="preserve">July 2022, according to Congressional Quarterly, Fitzpatrick voted</w:t>
      </w:r>
      <w:r>
        <w:t xml:space="preserve"> </w:t>
      </w:r>
      <w:r>
        <w:t xml:space="preserve">against en bloc amendments no. 5 to the Transportation, Housing and</w:t>
      </w:r>
      <w:r>
        <w:t xml:space="preserve"> </w:t>
      </w:r>
      <w:r>
        <w:t xml:space="preserve">Urban Development, and Related Agencies Appropriations Act, 2023, which</w:t>
      </w:r>
      <w:r>
        <w:t xml:space="preserve"> </w:t>
      </w:r>
      <w:r>
        <w:t xml:space="preserve">would, in part,</w:t>
      </w:r>
      <w:r>
        <w:t xml:space="preserve"> </w:t>
      </w:r>
      <w:r>
        <w:t xml:space="preserve">“</w:t>
      </w:r>
      <w:r>
        <w:t xml:space="preserve">decrease funding for the Community Development Block</w:t>
      </w:r>
      <w:r>
        <w:t xml:space="preserve"> </w:t>
      </w:r>
      <w:r>
        <w:t xml:space="preserve">Grant by $300 million.</w:t>
      </w:r>
      <w:r>
        <w:t xml:space="preserve">”</w:t>
      </w:r>
      <w:r>
        <w:t xml:space="preserve"> </w:t>
      </w:r>
      <w:r>
        <w:t xml:space="preserve">The vote was on the adoption of amendments. The</w:t>
      </w:r>
      <w:r>
        <w:t xml:space="preserve"> </w:t>
      </w:r>
      <w:r>
        <w:t xml:space="preserve">House rejected the amendments by a vote 197-230. [House Vote 371,</w:t>
      </w:r>
      <w:r>
        <w:t xml:space="preserve"> </w:t>
      </w:r>
      <w:hyperlink r:id="rId20">
        <w:r>
          <w:rPr>
            <w:rStyle w:val="Hyperlink"/>
          </w:rPr>
          <w:t xml:space="preserve">7/19/22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71.xml" TargetMode="External" /><Relationship Type="http://schemas.openxmlformats.org/officeDocument/2006/relationships/hyperlink" Id="rId21" Target="https://plus.cq.com/vote/2022/H/371?4" TargetMode="External" /><Relationship Type="http://schemas.openxmlformats.org/officeDocument/2006/relationships/hyperlink" Id="rId22" Target="https://www.congress.gov/amendment/117th-congress/house-amendment/297/actions?s=a&amp;r=5" TargetMode="External" /><Relationship Type="http://schemas.openxmlformats.org/officeDocument/2006/relationships/hyperlink" Id="rId23" Target="https://www.congress.gov/bill/117th-congress/house-bill/829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71.xml" TargetMode="External" /><Relationship Type="http://schemas.openxmlformats.org/officeDocument/2006/relationships/hyperlink" Id="rId21" Target="https://plus.cq.com/vote/2022/H/371?4" TargetMode="External" /><Relationship Type="http://schemas.openxmlformats.org/officeDocument/2006/relationships/hyperlink" Id="rId22" Target="https://www.congress.gov/amendment/117th-congress/house-amendment/297/actions?s=a&amp;r=5" TargetMode="External" /><Relationship Type="http://schemas.openxmlformats.org/officeDocument/2006/relationships/hyperlink" Id="rId23" Target="https://www.congress.gov/bill/117th-congress/house-bill/829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