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unterterrorism-efforts"/>
    <w:p>
      <w:pPr>
        <w:pStyle w:val="Heading1"/>
      </w:pPr>
      <w:r>
        <w:t xml:space="preserve">Counterterrorism Efforts</w:t>
      </w:r>
    </w:p>
    <w:bookmarkStart w:id="23" w:name="hamas"/>
    <w:p>
      <w:pPr>
        <w:pStyle w:val="Heading3"/>
      </w:pPr>
      <w:r>
        <w:t xml:space="preserve">Hamas</w:t>
      </w:r>
    </w:p>
    <w:p>
      <w:pPr>
        <w:pStyle w:val="FirstParagraph"/>
      </w:pPr>
      <w:r>
        <w:rPr>
          <w:bCs/>
          <w:b/>
        </w:rPr>
        <w:t xml:space="preserve">2023: Fitzpatrick Voted Prevent Financing Of And Other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Hamas.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motion to suspend the rules and pass the bill</w:t>
      </w:r>
      <w:r>
        <w:t xml:space="preserve"> </w:t>
      </w:r>
      <w:r>
        <w:t xml:space="preserve">that would state that it is U.S. policy to prevent Hamas, Palestinian</w:t>
      </w:r>
      <w:r>
        <w:t xml:space="preserve"> </w:t>
      </w:r>
      <w:r>
        <w:t xml:space="preserve">Islamic Jihad, Al-Aqsa Martyrs Brigade, the Lion’s Den, or any affiliate</w:t>
      </w:r>
      <w:r>
        <w:t xml:space="preserve"> </w:t>
      </w:r>
      <w:r>
        <w:t xml:space="preserve">or successor thereof from accessing its international support networks.</w:t>
      </w:r>
      <w:r>
        <w:t xml:space="preserve"> </w:t>
      </w:r>
      <w:r>
        <w:t xml:space="preserve">It would also state that it is U.S. policy to oppose such groups from</w:t>
      </w:r>
      <w:r>
        <w:t xml:space="preserve"> </w:t>
      </w:r>
      <w:r>
        <w:t xml:space="preserve">using goods, including medicine and dual use items, to smuggle weapons</w:t>
      </w:r>
      <w:r>
        <w:t xml:space="preserve"> </w:t>
      </w:r>
      <w:r>
        <w:t xml:space="preserve">and other materials to further acts of terrorism, including against</w:t>
      </w:r>
      <w:r>
        <w:t xml:space="preserve"> </w:t>
      </w:r>
      <w:r>
        <w:t xml:space="preserve">Israel. Among other provisions, the bill would require the president to</w:t>
      </w:r>
      <w:r>
        <w:t xml:space="preserve"> </w:t>
      </w:r>
      <w:r>
        <w:t xml:space="preserve">impose sanctions on foreign individuals and states that engage in</w:t>
      </w:r>
      <w:r>
        <w:t xml:space="preserve"> </w:t>
      </w:r>
      <w:r>
        <w:t xml:space="preserve">significant financial transactions or provide significant material</w:t>
      </w:r>
      <w:r>
        <w:t xml:space="preserve"> </w:t>
      </w:r>
      <w:r>
        <w:t xml:space="preserve">support to such groups. It would terminate the bill’s provisions seven</w:t>
      </w:r>
      <w:r>
        <w:t xml:space="preserve"> </w:t>
      </w:r>
      <w:r>
        <w:t xml:space="preserve">years after the date of enactment, unless the president certifies to</w:t>
      </w:r>
      <w:r>
        <w:t xml:space="preserve"> </w:t>
      </w:r>
      <w:r>
        <w:t xml:space="preserve">Congress at a sooner date that Hamas is no longer designated as a</w:t>
      </w:r>
      <w:r>
        <w:t xml:space="preserve"> </w:t>
      </w:r>
      <w:r>
        <w:t xml:space="preserve">foreign terrorist organization, or that Hamas and the other listed</w:t>
      </w:r>
      <w:r>
        <w:t xml:space="preserve"> </w:t>
      </w:r>
      <w:r>
        <w:t xml:space="preserve">terrorist organizations no longer meet the criteria to be subject to</w:t>
      </w:r>
      <w:r>
        <w:t xml:space="preserve"> </w:t>
      </w:r>
      <w:r>
        <w:t xml:space="preserve">anti-terrorist financing sanctions under U.S. law.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363 to 46. [House Vote</w:t>
      </w:r>
      <w:r>
        <w:t xml:space="preserve"> </w:t>
      </w:r>
      <w:r>
        <w:t xml:space="preserve">561,</w:t>
      </w:r>
      <w:r>
        <w:t xml:space="preserve"> </w:t>
      </w:r>
      <w:hyperlink r:id="rId20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561.xml" TargetMode="External" /><Relationship Type="http://schemas.openxmlformats.org/officeDocument/2006/relationships/hyperlink" Id="rId21" Target="https://plus.cq.com/vote/2023/H/561?6" TargetMode="External" /><Relationship Type="http://schemas.openxmlformats.org/officeDocument/2006/relationships/hyperlink" Id="rId22" Target="https://www.congress.gov/bill/118th-congress/house-bill/3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561.xml" TargetMode="External" /><Relationship Type="http://schemas.openxmlformats.org/officeDocument/2006/relationships/hyperlink" Id="rId21" Target="https://plus.cq.com/vote/2023/H/561?6" TargetMode="External" /><Relationship Type="http://schemas.openxmlformats.org/officeDocument/2006/relationships/hyperlink" Id="rId22" Target="https://www.congress.gov/bill/118th-congress/house-bill/3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