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tobacco"/>
    <w:p>
      <w:pPr>
        <w:pStyle w:val="Heading1"/>
      </w:pPr>
      <w:r>
        <w:t xml:space="preserve">Tobacco</w:t>
      </w:r>
    </w:p>
    <w:bookmarkStart w:id="23" w:name="age-of-sale"/>
    <w:p>
      <w:pPr>
        <w:pStyle w:val="Heading3"/>
      </w:pPr>
      <w:r>
        <w:t xml:space="preserve">Age Of Sale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Increased The Minimum Age Of Sale Of Tobacco Products from 18 To</w:t>
      </w:r>
      <w:r>
        <w:rPr>
          <w:bCs/>
          <w:b/>
        </w:rPr>
        <w:t xml:space="preserve"> </w:t>
      </w:r>
      <w:r>
        <w:rPr>
          <w:bCs/>
          <w:b/>
        </w:rPr>
        <w:t xml:space="preserve">21.</w:t>
      </w:r>
      <w:r>
        <w:t xml:space="preserve"> </w:t>
      </w:r>
      <w:r>
        <w:t xml:space="preserve">In December 2019, Fitzpatrick voted for the FY 2020 minibus</w:t>
      </w:r>
      <w:r>
        <w:t xml:space="preserve"> </w:t>
      </w:r>
      <w:r>
        <w:t xml:space="preserve">spending bill, which represented 8 of the 12 appropriations bills.</w:t>
      </w:r>
      <w:r>
        <w:t xml:space="preserve"> </w:t>
      </w:r>
      <w:r>
        <w:t xml:space="preserve">According to Congressional Quarterly, the bill</w:t>
      </w:r>
      <w:r>
        <w:t xml:space="preserve"> </w:t>
      </w:r>
      <w:r>
        <w:t xml:space="preserve">“</w:t>
      </w:r>
      <w:r>
        <w:t xml:space="preserve">updates the Federal</w:t>
      </w:r>
      <w:r>
        <w:t xml:space="preserve"> </w:t>
      </w:r>
      <w:r>
        <w:t xml:space="preserve">Food, Drug, and Cosmetic Act to increase the minimum age of sale of</w:t>
      </w:r>
      <w:r>
        <w:t xml:space="preserve"> </w:t>
      </w:r>
      <w:r>
        <w:t xml:space="preserve">tobacco products from 18 to 21 years of age.</w:t>
      </w:r>
      <w:r>
        <w:t xml:space="preserve">”</w:t>
      </w:r>
      <w:r>
        <w:t xml:space="preserve"> </w:t>
      </w:r>
      <w:r>
        <w:t xml:space="preserve">The vote was a motion to</w:t>
      </w:r>
      <w:r>
        <w:t xml:space="preserve"> </w:t>
      </w:r>
      <w:r>
        <w:t xml:space="preserve">concur. The vote was a motion to concur in the Senate amendment. The</w:t>
      </w:r>
      <w:r>
        <w:t xml:space="preserve"> </w:t>
      </w:r>
      <w:r>
        <w:t xml:space="preserve">House agreed to the motion by a vote of 297-120. The Senate later passed</w:t>
      </w:r>
      <w:r>
        <w:t xml:space="preserve"> </w:t>
      </w:r>
      <w:r>
        <w:t xml:space="preserve">the bill and the President signed the bill into law. 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