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elehealth"/>
    <w:p>
      <w:pPr>
        <w:pStyle w:val="Heading1"/>
      </w:pPr>
      <w:r>
        <w:t xml:space="preserve">Telehealth</w:t>
      </w:r>
    </w:p>
    <w:bookmarkStart w:id="25" w:name="extending-authority"/>
    <w:p>
      <w:pPr>
        <w:pStyle w:val="Heading3"/>
      </w:pPr>
      <w:r>
        <w:t xml:space="preserve">Extending Authority</w:t>
      </w:r>
    </w:p>
    <w:p>
      <w:pPr>
        <w:pStyle w:val="FirstParagraph"/>
      </w:pPr>
      <w:r>
        <w:rPr>
          <w:bCs/>
          <w:b/>
        </w:rPr>
        <w:t xml:space="preserve">2022: Fitzpatrick Voted To Extend The Authority For Medicare To Cover</w:t>
      </w:r>
      <w:r>
        <w:rPr>
          <w:bCs/>
          <w:b/>
        </w:rPr>
        <w:t xml:space="preserve"> </w:t>
      </w:r>
      <w:r>
        <w:rPr>
          <w:bCs/>
          <w:b/>
        </w:rPr>
        <w:t xml:space="preserve">Telehealth Services Through The Later End Of 2024 Or The End Of The</w:t>
      </w:r>
      <w:r>
        <w:rPr>
          <w:bCs/>
          <w:b/>
        </w:rPr>
        <w:t xml:space="preserve"> </w:t>
      </w:r>
      <w:r>
        <w:rPr>
          <w:bCs/>
          <w:b/>
        </w:rPr>
        <w:t xml:space="preserve">COVID-19 Public Health Emergency.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Advancing Telehealth</w:t>
      </w:r>
      <w:r>
        <w:t xml:space="preserve"> </w:t>
      </w:r>
      <w:r>
        <w:t xml:space="preserve">Beyond COVID–19 Act of 2021, which would</w:t>
      </w:r>
      <w:r>
        <w:t xml:space="preserve"> </w:t>
      </w:r>
      <w:r>
        <w:t xml:space="preserve">“</w:t>
      </w:r>
      <w:r>
        <w:t xml:space="preserve">extend, through the later of</w:t>
      </w:r>
      <w:r>
        <w:t xml:space="preserve"> </w:t>
      </w:r>
      <w:r>
        <w:t xml:space="preserve">the end of 2024 or the end of the COVID-19 public health emergency,</w:t>
      </w:r>
      <w:r>
        <w:t xml:space="preserve"> </w:t>
      </w:r>
      <w:r>
        <w:t xml:space="preserve">temporary authorities for Medicare to cover telehealth services,</w:t>
      </w:r>
      <w:r>
        <w:t xml:space="preserve"> </w:t>
      </w:r>
      <w:r>
        <w:t xml:space="preserve">including services provided by federally qualified health centers and</w:t>
      </w:r>
      <w:r>
        <w:t xml:space="preserve"> </w:t>
      </w:r>
      <w:r>
        <w:t xml:space="preserve">rural health clinics; services received by beneficiaries at any site,</w:t>
      </w:r>
      <w:r>
        <w:t xml:space="preserve"> </w:t>
      </w:r>
      <w:r>
        <w:t xml:space="preserve">including their homes; substance use disorder and mental health services</w:t>
      </w:r>
      <w:r>
        <w:t xml:space="preserve"> </w:t>
      </w:r>
      <w:r>
        <w:t xml:space="preserve">without in-person visits; audio-only services; and services provided by</w:t>
      </w:r>
      <w:r>
        <w:t xml:space="preserve"> </w:t>
      </w:r>
      <w:r>
        <w:t xml:space="preserve">occupational therapists, physical therapists, speech-language</w:t>
      </w:r>
      <w:r>
        <w:t xml:space="preserve"> </w:t>
      </w:r>
      <w:r>
        <w:t xml:space="preserve">pathologists and audiologists. The telehealth authorities were initially</w:t>
      </w:r>
      <w:r>
        <w:t xml:space="preserve"> </w:t>
      </w:r>
      <w:r>
        <w:t xml:space="preserve">authorized by the March 2020 coronavirus relief law (PL 116-136) and</w:t>
      </w:r>
      <w:r>
        <w:t xml:space="preserve"> </w:t>
      </w:r>
      <w:r>
        <w:t xml:space="preserve">later extended through 151 days after the end of the public health</w:t>
      </w:r>
      <w:r>
        <w:t xml:space="preserve"> </w:t>
      </w:r>
      <w:r>
        <w:t xml:space="preserve">emergency by the fiscal 2022 omnibus funding law (PL 117-103). As an</w:t>
      </w:r>
      <w:r>
        <w:t xml:space="preserve"> </w:t>
      </w:r>
      <w:r>
        <w:t xml:space="preserve">offset, it would decrease funding available for the Medicare Improvement</w:t>
      </w:r>
      <w:r>
        <w:t xml:space="preserve"> </w:t>
      </w:r>
      <w:r>
        <w:t xml:space="preserve">Fund from $7.5 billion to $5.153 billion.</w:t>
      </w:r>
      <w:r>
        <w:t xml:space="preserve">”</w:t>
      </w:r>
      <w:r>
        <w:t xml:space="preserve"> </w:t>
      </w:r>
      <w:r>
        <w:t xml:space="preserve">The vote was passage. The</w:t>
      </w:r>
      <w:r>
        <w:t xml:space="preserve"> </w:t>
      </w:r>
      <w:r>
        <w:t xml:space="preserve">House passed the bill by a vote 416-12, thus the bill was sent to the</w:t>
      </w:r>
      <w:r>
        <w:t xml:space="preserve"> </w:t>
      </w:r>
      <w:r>
        <w:t xml:space="preserve">Senate. The Senate did not take substantive action on the bill. [House</w:t>
      </w:r>
      <w:r>
        <w:t xml:space="preserve"> </w:t>
      </w:r>
      <w:r>
        <w:t xml:space="preserve">Vote 400,</w:t>
      </w:r>
      <w:r>
        <w:t xml:space="preserve"> </w:t>
      </w:r>
      <w:hyperlink r:id="rId20">
        <w:r>
          <w:rPr>
            <w:rStyle w:val="Hyperlink"/>
          </w:rPr>
          <w:t xml:space="preserve">7/27/22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7/27/22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Advancing Telehealth</w:t>
      </w:r>
      <w:r>
        <w:rPr>
          <w:bCs/>
          <w:b/>
        </w:rPr>
        <w:t xml:space="preserve"> </w:t>
      </w:r>
      <w:r>
        <w:rPr>
          <w:bCs/>
          <w:b/>
        </w:rPr>
        <w:t xml:space="preserve">Beyond COVID–19 Act Of 2021.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recommit the bill to the</w:t>
      </w:r>
      <w:r>
        <w:t xml:space="preserve"> </w:t>
      </w:r>
      <w:r>
        <w:t xml:space="preserve">House Energy and Commerce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205-221, thus the</w:t>
      </w:r>
      <w:r>
        <w:t xml:space="preserve"> </w:t>
      </w:r>
      <w:r>
        <w:t xml:space="preserve">House voted on passage subsequently. [House Vote 399,</w:t>
      </w:r>
      <w:r>
        <w:t xml:space="preserve"> </w:t>
      </w:r>
      <w:hyperlink r:id="rId23">
        <w:r>
          <w:rPr>
            <w:rStyle w:val="Hyperlink"/>
          </w:rPr>
          <w:t xml:space="preserve">7/27/22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7/27/22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4040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2/roll399.xml" TargetMode="External" /><Relationship Type="http://schemas.openxmlformats.org/officeDocument/2006/relationships/hyperlink" Id="rId20" Target="http://clerk.house.gov/evs/2022/roll400.xml" TargetMode="External" /><Relationship Type="http://schemas.openxmlformats.org/officeDocument/2006/relationships/hyperlink" Id="rId24" Target="https://plus.cq.com/vote/2022/H/399?11" TargetMode="External" /><Relationship Type="http://schemas.openxmlformats.org/officeDocument/2006/relationships/hyperlink" Id="rId21" Target="https://plus.cq.com/vote/2022/H/400?12" TargetMode="External" /><Relationship Type="http://schemas.openxmlformats.org/officeDocument/2006/relationships/hyperlink" Id="rId22" Target="https://www.congress.gov/bill/117th-congress/house-bill/40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2/roll399.xml" TargetMode="External" /><Relationship Type="http://schemas.openxmlformats.org/officeDocument/2006/relationships/hyperlink" Id="rId20" Target="http://clerk.house.gov/evs/2022/roll400.xml" TargetMode="External" /><Relationship Type="http://schemas.openxmlformats.org/officeDocument/2006/relationships/hyperlink" Id="rId24" Target="https://plus.cq.com/vote/2022/H/399?11" TargetMode="External" /><Relationship Type="http://schemas.openxmlformats.org/officeDocument/2006/relationships/hyperlink" Id="rId21" Target="https://plus.cq.com/vote/2022/H/400?12" TargetMode="External" /><Relationship Type="http://schemas.openxmlformats.org/officeDocument/2006/relationships/hyperlink" Id="rId22" Target="https://www.congress.gov/bill/117th-congress/house-bill/40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