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pre-existing-conditions"/>
    <w:p>
      <w:pPr>
        <w:pStyle w:val="Heading1"/>
      </w:pPr>
      <w:r>
        <w:t xml:space="preserve">Pre-Existing Conditions</w:t>
      </w:r>
    </w:p>
    <w:bookmarkStart w:id="27" w:name="protections-generally"/>
    <w:p>
      <w:pPr>
        <w:pStyle w:val="Heading3"/>
      </w:pPr>
      <w:r>
        <w:t xml:space="preserve">Protections, Generally</w:t>
      </w:r>
    </w:p>
    <w:p>
      <w:pPr>
        <w:pStyle w:val="FirstParagraph"/>
      </w:pPr>
      <w:r>
        <w:rPr>
          <w:bCs/>
          <w:b/>
        </w:rPr>
        <w:t xml:space="preserve">2019: Fitzpatrick Voted For The Protecting Americans With Preexisting</w:t>
      </w:r>
      <w:r>
        <w:rPr>
          <w:bCs/>
          <w:b/>
        </w:rPr>
        <w:t xml:space="preserve"> </w:t>
      </w:r>
      <w:r>
        <w:rPr>
          <w:bCs/>
          <w:b/>
        </w:rPr>
        <w:t xml:space="preserve">Conditions Act of 2019, Which Prevented The Trump Administration From</w:t>
      </w:r>
      <w:r>
        <w:rPr>
          <w:bCs/>
          <w:b/>
        </w:rPr>
        <w:t xml:space="preserve"> </w:t>
      </w:r>
      <w:r>
        <w:rPr>
          <w:bCs/>
          <w:b/>
        </w:rPr>
        <w:t xml:space="preserve">Giving Waivers To States To Bypass Certain ACA Requirements.</w:t>
      </w:r>
      <w:r>
        <w:t xml:space="preserve"> </w:t>
      </w:r>
      <w:r>
        <w:t xml:space="preserve">In May</w:t>
      </w:r>
      <w:r>
        <w:t xml:space="preserve"> </w:t>
      </w:r>
      <w:r>
        <w:t xml:space="preserve">2019, Fitzpatrick voted for an amendment that would have,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prohibit[ed] the Health and Human Services</w:t>
      </w:r>
      <w:r>
        <w:t xml:space="preserve"> </w:t>
      </w:r>
      <w:r>
        <w:t xml:space="preserve">and Treasury departments from taking any action to implement or enforce</w:t>
      </w:r>
      <w:r>
        <w:t xml:space="preserve"> </w:t>
      </w:r>
      <w:r>
        <w:t xml:space="preserve">their October 2018 guidance regarding criteria for evaluating Section</w:t>
      </w:r>
      <w:r>
        <w:t xml:space="preserve"> </w:t>
      </w:r>
      <w:r>
        <w:t xml:space="preserve">1332 state health care plan waivers under the 2010 health care overhaul,</w:t>
      </w:r>
      <w:r>
        <w:t xml:space="preserve"> </w:t>
      </w:r>
      <w:r>
        <w:t xml:space="preserve">and would prohibit the departments from effectively reissuing the</w:t>
      </w:r>
      <w:r>
        <w:t xml:space="preserve"> </w:t>
      </w:r>
      <w:r>
        <w:t xml:space="preserve">guidance. Section 1332 waivers exempt state health care plans from</w:t>
      </w:r>
      <w:r>
        <w:t xml:space="preserve"> </w:t>
      </w:r>
      <w:r>
        <w:t xml:space="preserve">certain federal requirements under the Affordable Care Act, including</w:t>
      </w:r>
      <w:r>
        <w:t xml:space="preserve"> </w:t>
      </w:r>
      <w:r>
        <w:t xml:space="preserve">requirements related to qualified health plans, tax credits, and</w:t>
      </w:r>
      <w:r>
        <w:t xml:space="preserve"> </w:t>
      </w:r>
      <w:r>
        <w:t xml:space="preserve">individual and employer mandates. To be eligible for such waivers,</w:t>
      </w:r>
      <w:r>
        <w:t xml:space="preserve"> </w:t>
      </w:r>
      <w:r>
        <w:t xml:space="preserve">proposed state plans are required to provide care to a</w:t>
      </w:r>
      <w:r>
        <w:t xml:space="preserve"> </w:t>
      </w:r>
      <w:r>
        <w:t xml:space="preserve">‘</w:t>
      </w:r>
      <w:r>
        <w:t xml:space="preserve">comparable</w:t>
      </w:r>
      <w:r>
        <w:t xml:space="preserve"> </w:t>
      </w:r>
      <w:r>
        <w:t xml:space="preserve">number</w:t>
      </w:r>
      <w:r>
        <w:t xml:space="preserve">’</w:t>
      </w:r>
      <w:r>
        <w:t xml:space="preserve"> </w:t>
      </w:r>
      <w:r>
        <w:t xml:space="preserve">of residents that is</w:t>
      </w:r>
      <w:r>
        <w:t xml:space="preserve"> </w:t>
      </w:r>
      <w:r>
        <w:t xml:space="preserve">‘</w:t>
      </w:r>
      <w:r>
        <w:t xml:space="preserve">as comprehensive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as affordable</w:t>
      </w:r>
      <w:r>
        <w:t xml:space="preserve">’</w:t>
      </w:r>
      <w:r>
        <w:t xml:space="preserve"> </w:t>
      </w:r>
      <w:r>
        <w:t xml:space="preserve">as</w:t>
      </w:r>
      <w:r>
        <w:t xml:space="preserve"> </w:t>
      </w:r>
      <w:r>
        <w:t xml:space="preserve">would otherwise be provided under the ACA. The October 2018 guidance</w:t>
      </w:r>
      <w:r>
        <w:t xml:space="preserve"> </w:t>
      </w:r>
      <w:r>
        <w:t xml:space="preserve">modifies guidelines for considering waiver applications, emphasizing</w:t>
      </w:r>
      <w:r>
        <w:t xml:space="preserve"> </w:t>
      </w:r>
      <w:r>
        <w:t xml:space="preserve">that a proposed state health care plan should be evaluated based on the</w:t>
      </w:r>
      <w:r>
        <w:t xml:space="preserve"> </w:t>
      </w:r>
      <w:r>
        <w:t xml:space="preserve">number of residents that would have</w:t>
      </w:r>
      <w:r>
        <w:t xml:space="preserve"> </w:t>
      </w:r>
      <w:r>
        <w:t xml:space="preserve">‘</w:t>
      </w:r>
      <w:r>
        <w:t xml:space="preserve">access</w:t>
      </w:r>
      <w:r>
        <w:t xml:space="preserve">’</w:t>
      </w:r>
      <w:r>
        <w:t xml:space="preserve"> </w:t>
      </w:r>
      <w:r>
        <w:t xml:space="preserve">to comparable coverage</w:t>
      </w:r>
      <w:r>
        <w:t xml:space="preserve"> </w:t>
      </w:r>
      <w:r>
        <w:t xml:space="preserve">under the plan, as opposed to the number of residents that purchase such</w:t>
      </w:r>
      <w:r>
        <w:t xml:space="preserve"> </w:t>
      </w:r>
      <w:r>
        <w:t xml:space="preserve">coverage.</w:t>
      </w:r>
      <w:r>
        <w:t xml:space="preserve">”</w:t>
      </w:r>
      <w:r>
        <w:t xml:space="preserve"> </w:t>
      </w:r>
      <w:r>
        <w:t xml:space="preserve">In addition, also according to Congressional Quarterly, the</w:t>
      </w:r>
      <w:r>
        <w:t xml:space="preserve"> </w:t>
      </w:r>
      <w:r>
        <w:t xml:space="preserve">bill</w:t>
      </w:r>
      <w:r>
        <w:t xml:space="preserve"> </w:t>
      </w:r>
      <w:r>
        <w:t xml:space="preserve">“</w:t>
      </w:r>
      <w:r>
        <w:t xml:space="preserve">require[d] the Trump administration to rescind a 2018 guidance</w:t>
      </w:r>
      <w:r>
        <w:t xml:space="preserve"> </w:t>
      </w:r>
      <w:r>
        <w:t xml:space="preserve">that made it easier for states to change their individual insurance</w:t>
      </w:r>
      <w:r>
        <w:t xml:space="preserve"> </w:t>
      </w:r>
      <w:r>
        <w:t xml:space="preserve">markets and bypass the 2010 health care law. […] In October, the</w:t>
      </w:r>
      <w:r>
        <w:t xml:space="preserve"> </w:t>
      </w:r>
      <w:r>
        <w:t xml:space="preserve">administration released a guidance to give states more flexibility by</w:t>
      </w:r>
      <w:r>
        <w:t xml:space="preserve"> </w:t>
      </w:r>
      <w:r>
        <w:t xml:space="preserve">exempting them from some of the waiver requirements. The administration</w:t>
      </w:r>
      <w:r>
        <w:t xml:space="preserve"> </w:t>
      </w:r>
      <w:r>
        <w:t xml:space="preserve">later suggested ways states could change their insurance markets,</w:t>
      </w:r>
      <w:r>
        <w:t xml:space="preserve"> </w:t>
      </w:r>
      <w:r>
        <w:t xml:space="preserve">including revising the rules for consumers to qualify for premium</w:t>
      </w:r>
      <w:r>
        <w:t xml:space="preserve"> </w:t>
      </w:r>
      <w:r>
        <w:t xml:space="preserve">subsidies, allowing those subsidies to go toward plans that don’t comply</w:t>
      </w:r>
      <w:r>
        <w:t xml:space="preserve"> </w:t>
      </w:r>
      <w:r>
        <w:t xml:space="preserve">with all of the 2010 law’s regulations or setting up high-risk pools or</w:t>
      </w:r>
      <w:r>
        <w:t xml:space="preserve"> </w:t>
      </w:r>
      <w:r>
        <w:t xml:space="preserve">reinsurance programs to help cover the most expensive patients.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230 to 183.</w:t>
      </w:r>
      <w:r>
        <w:t xml:space="preserve"> </w:t>
      </w:r>
      <w:r>
        <w:t xml:space="preserve">[House Vote 196,</w:t>
      </w:r>
      <w:r>
        <w:t xml:space="preserve"> </w:t>
      </w:r>
      <w:hyperlink r:id="rId20">
        <w:r>
          <w:rPr>
            <w:rStyle w:val="Hyperlink"/>
          </w:rPr>
          <w:t xml:space="preserve">5/9/19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5/9/19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2">
        <w:r>
          <w:rPr>
            <w:rStyle w:val="Hyperlink"/>
          </w:rPr>
          <w:t xml:space="preserve">5/9/19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986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To Prevent HHS And Treasury From Doing</w:t>
      </w:r>
      <w:r>
        <w:rPr>
          <w:bCs/>
          <w:b/>
        </w:rPr>
        <w:t xml:space="preserve"> </w:t>
      </w:r>
      <w:r>
        <w:rPr>
          <w:bCs/>
          <w:b/>
        </w:rPr>
        <w:t xml:space="preserve">Anything That Would Make Health Insurance Less Affordable For Those With</w:t>
      </w:r>
      <w:r>
        <w:rPr>
          <w:bCs/>
          <w:b/>
        </w:rPr>
        <w:t xml:space="preserve"> </w:t>
      </w:r>
      <w:r>
        <w:rPr>
          <w:bCs/>
          <w:b/>
        </w:rPr>
        <w:t xml:space="preserve">Pre-Existing Conditions Or Be Less Comprehensive Than The ACA’s</w:t>
      </w:r>
      <w:r>
        <w:rPr>
          <w:bCs/>
          <w:b/>
        </w:rPr>
        <w:t xml:space="preserve"> </w:t>
      </w:r>
      <w:r>
        <w:rPr>
          <w:bCs/>
          <w:b/>
        </w:rPr>
        <w:t xml:space="preserve">Essential Health Benefits.</w:t>
      </w:r>
      <w:r>
        <w:t xml:space="preserve"> </w:t>
      </w:r>
      <w:r>
        <w:t xml:space="preserve">In May 2019, Fitzpatrick voted for an</w:t>
      </w:r>
      <w:r>
        <w:t xml:space="preserve"> </w:t>
      </w:r>
      <w:r>
        <w:t xml:space="preserve">amendment that would have, according to Congressional Quarterly,</w:t>
      </w:r>
      <w:r>
        <w:t xml:space="preserve"> </w:t>
      </w:r>
      <w:r>
        <w:t xml:space="preserve">“</w:t>
      </w:r>
      <w:r>
        <w:t xml:space="preserve">prohibit[ed] the Health and Human Services and Treasury departments</w:t>
      </w:r>
      <w:r>
        <w:t xml:space="preserve"> </w:t>
      </w:r>
      <w:r>
        <w:t xml:space="preserve">from taking any action that would reduce the affordability, for</w:t>
      </w:r>
      <w:r>
        <w:t xml:space="preserve"> </w:t>
      </w:r>
      <w:r>
        <w:t xml:space="preserve">individuals with preexisting conditions, of health insurance at least as</w:t>
      </w:r>
      <w:r>
        <w:t xml:space="preserve"> </w:t>
      </w:r>
      <w:r>
        <w:t xml:space="preserve">comprehensive as the</w:t>
      </w:r>
      <w:r>
        <w:t xml:space="preserve"> </w:t>
      </w:r>
      <w:r>
        <w:t xml:space="preserve">‘</w:t>
      </w:r>
      <w:r>
        <w:t xml:space="preserve">essential health benefits packages</w:t>
      </w:r>
      <w:r>
        <w:t xml:space="preserve">’</w:t>
      </w:r>
      <w:r>
        <w:t xml:space="preserve"> </w:t>
      </w:r>
      <w:r>
        <w:t xml:space="preserve">defined under</w:t>
      </w:r>
      <w:r>
        <w:t xml:space="preserve"> </w:t>
      </w:r>
      <w:r>
        <w:t xml:space="preserve">the 2010 health care law.</w:t>
      </w:r>
      <w:r>
        <w:t xml:space="preserve">”</w:t>
      </w:r>
      <w:r>
        <w:t xml:space="preserve"> </w:t>
      </w:r>
      <w:r>
        <w:t xml:space="preserve">The underlying legislation would have, also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require[d] the Trump</w:t>
      </w:r>
      <w:r>
        <w:t xml:space="preserve"> </w:t>
      </w:r>
      <w:r>
        <w:t xml:space="preserve">administration to rescind a 2018 guidance that made it easier for states</w:t>
      </w:r>
      <w:r>
        <w:t xml:space="preserve"> </w:t>
      </w:r>
      <w:r>
        <w:t xml:space="preserve">to change their individual insurance markets and bypass the 2010 health</w:t>
      </w:r>
      <w:r>
        <w:t xml:space="preserve"> </w:t>
      </w:r>
      <w:r>
        <w:t xml:space="preserve">care law. […] In October, the administration released a guidance to</w:t>
      </w:r>
      <w:r>
        <w:t xml:space="preserve"> </w:t>
      </w:r>
      <w:r>
        <w:t xml:space="preserve">give states more flexibility by exempting them from some of the waiver</w:t>
      </w:r>
      <w:r>
        <w:t xml:space="preserve"> </w:t>
      </w:r>
      <w:r>
        <w:t xml:space="preserve">requirements. The administration later suggested ways states could</w:t>
      </w:r>
      <w:r>
        <w:t xml:space="preserve"> </w:t>
      </w:r>
      <w:r>
        <w:t xml:space="preserve">change their insurance markets, including revising the rules for</w:t>
      </w:r>
      <w:r>
        <w:t xml:space="preserve"> </w:t>
      </w:r>
      <w:r>
        <w:t xml:space="preserve">consumers to qualify for premium subsidies, allowing those subsidies to</w:t>
      </w:r>
      <w:r>
        <w:t xml:space="preserve"> </w:t>
      </w:r>
      <w:r>
        <w:t xml:space="preserve">go toward plans that don’t comply with all of the 2010 law’s regulations</w:t>
      </w:r>
      <w:r>
        <w:t xml:space="preserve"> </w:t>
      </w:r>
      <w:r>
        <w:t xml:space="preserve">or setting up high-risk pools or reinsurance programs to help cover the</w:t>
      </w:r>
      <w:r>
        <w:t xml:space="preserve"> </w:t>
      </w:r>
      <w:r>
        <w:t xml:space="preserve">most expensive patients.</w:t>
      </w:r>
      <w:r>
        <w:t xml:space="preserve">”</w:t>
      </w:r>
      <w:r>
        <w:t xml:space="preserve"> </w:t>
      </w:r>
      <w:r>
        <w:t xml:space="preserve">The vote was on the amendment. The House</w:t>
      </w:r>
      <w:r>
        <w:t xml:space="preserve"> </w:t>
      </w:r>
      <w:r>
        <w:t xml:space="preserve">passed the amendment by a vote of 302 to 117. The House later passed the</w:t>
      </w:r>
      <w:r>
        <w:t xml:space="preserve"> </w:t>
      </w:r>
      <w:r>
        <w:t xml:space="preserve">underlying bill. [House Vote 193,</w:t>
      </w:r>
      <w:r>
        <w:t xml:space="preserve"> </w:t>
      </w:r>
      <w:hyperlink r:id="rId24">
        <w:r>
          <w:rPr>
            <w:rStyle w:val="Hyperlink"/>
          </w:rPr>
          <w:t xml:space="preserve">5/9/19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5/9/19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2">
        <w:r>
          <w:rPr>
            <w:rStyle w:val="Hyperlink"/>
          </w:rPr>
          <w:t xml:space="preserve">5/9/19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6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207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986</w:t>
        </w:r>
      </w:hyperlink>
      <w:r>
        <w:t xml:space="preserve">]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19/roll193.xml" TargetMode="External" /><Relationship Type="http://schemas.openxmlformats.org/officeDocument/2006/relationships/hyperlink" Id="rId20" Target="http://clerk.house.gov/evs/2019/roll196.xml" TargetMode="External" /><Relationship Type="http://schemas.openxmlformats.org/officeDocument/2006/relationships/hyperlink" Id="rId25" Target="http://cq.com/vote/2019/H/193?0" TargetMode="External" /><Relationship Type="http://schemas.openxmlformats.org/officeDocument/2006/relationships/hyperlink" Id="rId21" Target="http://cq.com/vote/2019/H/196?0" TargetMode="External" /><Relationship Type="http://schemas.openxmlformats.org/officeDocument/2006/relationships/hyperlink" Id="rId22" Target="http://www.cq.com/doc/news-5533337?9" TargetMode="External" /><Relationship Type="http://schemas.openxmlformats.org/officeDocument/2006/relationships/hyperlink" Id="rId26" Target="https://www.congress.gov/amendment/116th-congress/house-amendment/207/actions" TargetMode="External" /><Relationship Type="http://schemas.openxmlformats.org/officeDocument/2006/relationships/hyperlink" Id="rId23" Target="https://www.congress.gov/bill/116th-congress/house-bill/986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19/roll193.xml" TargetMode="External" /><Relationship Type="http://schemas.openxmlformats.org/officeDocument/2006/relationships/hyperlink" Id="rId20" Target="http://clerk.house.gov/evs/2019/roll196.xml" TargetMode="External" /><Relationship Type="http://schemas.openxmlformats.org/officeDocument/2006/relationships/hyperlink" Id="rId25" Target="http://cq.com/vote/2019/H/193?0" TargetMode="External" /><Relationship Type="http://schemas.openxmlformats.org/officeDocument/2006/relationships/hyperlink" Id="rId21" Target="http://cq.com/vote/2019/H/196?0" TargetMode="External" /><Relationship Type="http://schemas.openxmlformats.org/officeDocument/2006/relationships/hyperlink" Id="rId22" Target="http://www.cq.com/doc/news-5533337?9" TargetMode="External" /><Relationship Type="http://schemas.openxmlformats.org/officeDocument/2006/relationships/hyperlink" Id="rId26" Target="https://www.congress.gov/amendment/116th-congress/house-amendment/207/actions" TargetMode="External" /><Relationship Type="http://schemas.openxmlformats.org/officeDocument/2006/relationships/hyperlink" Id="rId23" Target="https://www.congress.gov/bill/116th-congress/house-bill/986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2026-01-27T02:08:44Z</dcterms:created>
  <dcterms:modified xsi:type="dcterms:W3CDTF">2026-01-27T02:08:44Z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