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general-services-administration"/>
    <w:p>
      <w:pPr>
        <w:pStyle w:val="Heading1"/>
      </w:pPr>
      <w:r>
        <w:t xml:space="preserve">General Services Administration</w:t>
      </w:r>
    </w:p>
    <w:bookmarkStart w:id="2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Authorize $450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Technological Modernization And Citizen Services Funds At The General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Administration And $50 Million To The Information Technology</w:t>
      </w:r>
      <w:r>
        <w:rPr>
          <w:bCs/>
          <w:b/>
        </w:rPr>
        <w:t xml:space="preserve"> </w:t>
      </w:r>
      <w:r>
        <w:rPr>
          <w:bCs/>
          <w:b/>
        </w:rPr>
        <w:t xml:space="preserve">Oversight And Reform Fund At The Office Of Management And Budget.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against the adoption of the rule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$250 for the</w:t>
      </w:r>
      <w:r>
        <w:t xml:space="preserve"> </w:t>
      </w:r>
      <w:r>
        <w:t xml:space="preserve">General Services Administration's technology modernization fund, $200</w:t>
      </w:r>
      <w:r>
        <w:t xml:space="preserve"> </w:t>
      </w:r>
      <w:r>
        <w:t xml:space="preserve">million for the GSA's citizen services fund, and $50 million for</w:t>
      </w:r>
      <w:r>
        <w:t xml:space="preserve"> </w:t>
      </w:r>
      <w:r>
        <w:t xml:space="preserve">Office of Management and Budget's information technology oversight and</w:t>
      </w:r>
      <w:r>
        <w:t xml:space="preserve"> </w:t>
      </w:r>
      <w:r>
        <w:t xml:space="preserve">reform fund; and make various technical corrections.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221-213, thus the manager’s amendment was automatically adopted. [House</w:t>
      </w:r>
      <w:r>
        <w:t xml:space="preserve"> </w:t>
      </w:r>
      <w:r>
        <w:t xml:space="preserve">Vote 372,</w:t>
      </w:r>
      <w:r>
        <w:t xml:space="preserve"> </w:t>
      </w:r>
      <w:hyperlink r:id="rId20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Authorize $450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Technological Modernization And Citizen Services Funds At The General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Administration And $50 Million To The Information Technology</w:t>
      </w:r>
      <w:r>
        <w:rPr>
          <w:bCs/>
          <w:b/>
        </w:rPr>
        <w:t xml:space="preserve"> </w:t>
      </w:r>
      <w:r>
        <w:rPr>
          <w:bCs/>
          <w:b/>
        </w:rPr>
        <w:t xml:space="preserve">Oversight And Reform Fund At The Office Of Management And Budget.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Fitzpatrick voted against the motion to order the</w:t>
      </w:r>
      <w:r>
        <w:t xml:space="preserve"> </w:t>
      </w:r>
      <w:r>
        <w:t xml:space="preserve">previous question on the rule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$250 for the General Services Administration's</w:t>
      </w:r>
      <w:r>
        <w:t xml:space="preserve"> </w:t>
      </w:r>
      <w:r>
        <w:t xml:space="preserve">technology modernization fund, $200 million for the GSA's citizen</w:t>
      </w:r>
      <w:r>
        <w:t xml:space="preserve"> </w:t>
      </w:r>
      <w:r>
        <w:t xml:space="preserve">services fund, and $50 million for Office of Management and Budget's</w:t>
      </w:r>
      <w:r>
        <w:t xml:space="preserve"> </w:t>
      </w:r>
      <w:r>
        <w:t xml:space="preserve">information technology oversight and reform fund; and make various</w:t>
      </w:r>
      <w:r>
        <w:t xml:space="preserve"> </w:t>
      </w:r>
      <w:r>
        <w:t xml:space="preserve">technical corrections.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221-213. [House</w:t>
      </w:r>
      <w:r>
        <w:t xml:space="preserve"> </w:t>
      </w:r>
      <w:r>
        <w:t xml:space="preserve">Vote 371,</w:t>
      </w:r>
      <w:r>
        <w:t xml:space="preserve"> </w:t>
      </w:r>
      <w:hyperlink r:id="rId24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11/6/21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bookmarkEnd w:id="26"/>
    <w:bookmarkStart w:id="30" w:name="funding-for-cleaner-vehicles"/>
    <w:p>
      <w:pPr>
        <w:pStyle w:val="Heading3"/>
      </w:pPr>
      <w:r>
        <w:t xml:space="preserve">Funding For Cleaner Vehicles</w:t>
      </w:r>
    </w:p>
    <w:p>
      <w:pPr>
        <w:pStyle w:val="FirstParagraph"/>
      </w:pPr>
      <w:r>
        <w:rPr>
          <w:bCs/>
          <w:b/>
        </w:rPr>
        <w:t xml:space="preserve">2022: Fitzpatrick Voted Against Appropriating $100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General Services Administration To Purchase Zero-Emission And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Vehicles And Charging Infrastructure In FY 2023.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provide $100 million for General</w:t>
      </w:r>
      <w:r>
        <w:t xml:space="preserve"> </w:t>
      </w:r>
      <w:r>
        <w:t xml:space="preserve">Services Administration procurement of zero-emission and electric</w:t>
      </w:r>
      <w:r>
        <w:t xml:space="preserve"> </w:t>
      </w:r>
      <w:r>
        <w:t xml:space="preserve">vehicles and charging infrastructure.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220-207, thus the bill was sent to the</w:t>
      </w:r>
      <w:r>
        <w:t xml:space="preserve"> </w:t>
      </w:r>
      <w:r>
        <w:t xml:space="preserve">Senate. The Senate did not take substantive action on the legislation.</w:t>
      </w:r>
      <w:r>
        <w:t xml:space="preserve"> </w:t>
      </w:r>
      <w:r>
        <w:t xml:space="preserve">Congress passed and signed into law the FY 2023 Budget through H.R.</w:t>
      </w:r>
      <w:r>
        <w:t xml:space="preserve"> </w:t>
      </w:r>
      <w:r>
        <w:t xml:space="preserve">2617. [House Vote 383,</w:t>
      </w:r>
      <w:r>
        <w:t xml:space="preserve"> </w:t>
      </w:r>
      <w:hyperlink r:id="rId27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1/roll371.xml" TargetMode="External" /><Relationship Type="http://schemas.openxmlformats.org/officeDocument/2006/relationships/hyperlink" Id="rId20" Target="http://clerk.house.gov/evs/2021/roll372.xml" TargetMode="External" /><Relationship Type="http://schemas.openxmlformats.org/officeDocument/2006/relationships/hyperlink" Id="rId27" Target="http://clerk.house.gov/evs/2022/roll383.xml" TargetMode="External" /><Relationship Type="http://schemas.openxmlformats.org/officeDocument/2006/relationships/hyperlink" Id="rId25" Target="https://plus.cq.com/vote/2021/H/371?5" TargetMode="External" /><Relationship Type="http://schemas.openxmlformats.org/officeDocument/2006/relationships/hyperlink" Id="rId21" Target="https://plus.cq.com/vote/2021/H/372?3" TargetMode="External" /><Relationship Type="http://schemas.openxmlformats.org/officeDocument/2006/relationships/hyperlink" Id="rId28" Target="https://plus.cq.com/vote/2022/H/383?13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9" Target="https://www.congress.gov/bill/117th-congress/house-bill/8294/actions" TargetMode="External" /><Relationship Type="http://schemas.openxmlformats.org/officeDocument/2006/relationships/hyperlink" Id="rId23" Target="https://www.congress.gov/bill/117th-congress/house-resolution/77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1/roll371.xml" TargetMode="External" /><Relationship Type="http://schemas.openxmlformats.org/officeDocument/2006/relationships/hyperlink" Id="rId20" Target="http://clerk.house.gov/evs/2021/roll372.xml" TargetMode="External" /><Relationship Type="http://schemas.openxmlformats.org/officeDocument/2006/relationships/hyperlink" Id="rId27" Target="http://clerk.house.gov/evs/2022/roll383.xml" TargetMode="External" /><Relationship Type="http://schemas.openxmlformats.org/officeDocument/2006/relationships/hyperlink" Id="rId25" Target="https://plus.cq.com/vote/2021/H/371?5" TargetMode="External" /><Relationship Type="http://schemas.openxmlformats.org/officeDocument/2006/relationships/hyperlink" Id="rId21" Target="https://plus.cq.com/vote/2021/H/372?3" TargetMode="External" /><Relationship Type="http://schemas.openxmlformats.org/officeDocument/2006/relationships/hyperlink" Id="rId28" Target="https://plus.cq.com/vote/2022/H/383?13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9" Target="https://www.congress.gov/bill/117th-congress/house-bill/8294/actions" TargetMode="External" /><Relationship Type="http://schemas.openxmlformats.org/officeDocument/2006/relationships/hyperlink" Id="rId23" Target="https://www.congress.gov/bill/117th-congress/house-resolution/77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