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6917cd77add96c147757143348d0c0756af7c38"/>
    <w:p>
      <w:pPr>
        <w:pStyle w:val="Heading1"/>
      </w:pPr>
      <w:r>
        <w:t xml:space="preserve">U.S. Commission On International Religious Freedom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Provide $3.5 Million Annually For FY</w:t>
      </w:r>
      <w:r>
        <w:rPr>
          <w:bCs/>
          <w:b/>
        </w:rPr>
        <w:t xml:space="preserve"> </w:t>
      </w:r>
      <w:r>
        <w:rPr>
          <w:bCs/>
          <w:b/>
        </w:rPr>
        <w:t xml:space="preserve">2023-2024 For The Reauthorization Of The U.S. Commission On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Religious Freedom.</w:t>
      </w:r>
      <w:r>
        <w:t xml:space="preserve"> </w:t>
      </w:r>
      <w:r>
        <w:t xml:space="preserve">In September 2022, according to</w:t>
      </w:r>
      <w:r>
        <w:t xml:space="preserve"> </w:t>
      </w:r>
      <w:r>
        <w:t xml:space="preserve">Congressional Quarterly, Fitzpatrick voted for the United States</w:t>
      </w:r>
      <w:r>
        <w:t xml:space="preserve"> </w:t>
      </w:r>
      <w:r>
        <w:t xml:space="preserve">Commission on International Religious Freedom Reauthorization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reauthorize the U.S. Commission on International</w:t>
      </w:r>
      <w:r>
        <w:t xml:space="preserve"> </w:t>
      </w:r>
      <w:r>
        <w:t xml:space="preserve">Religious Freedom, authorizing $3.5 million annually for fiscal years</w:t>
      </w:r>
      <w:r>
        <w:t xml:space="preserve"> </w:t>
      </w:r>
      <w:r>
        <w:t xml:space="preserve">2023 through 2024.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402-4, thus the bill was sent to President Biden and it</w:t>
      </w:r>
      <w:r>
        <w:t xml:space="preserve"> </w:t>
      </w:r>
      <w:r>
        <w:t xml:space="preserve">ultimately became law. [House Vote 438,</w:t>
      </w:r>
      <w:r>
        <w:t xml:space="preserve"> </w:t>
      </w:r>
      <w:hyperlink r:id="rId20">
        <w:r>
          <w:rPr>
            <w:rStyle w:val="Hyperlink"/>
          </w:rPr>
          <w:t xml:space="preserve">9/19/22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3895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38.xml" TargetMode="External" /><Relationship Type="http://schemas.openxmlformats.org/officeDocument/2006/relationships/hyperlink" Id="rId21" Target="https://plus.cq.com/vote/2022/H/438?15" TargetMode="External" /><Relationship Type="http://schemas.openxmlformats.org/officeDocument/2006/relationships/hyperlink" Id="rId22" Target="https://www.congress.gov/bill/117th-congress/senate-bill/389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38.xml" TargetMode="External" /><Relationship Type="http://schemas.openxmlformats.org/officeDocument/2006/relationships/hyperlink" Id="rId21" Target="https://plus.cq.com/vote/2022/H/438?15" TargetMode="External" /><Relationship Type="http://schemas.openxmlformats.org/officeDocument/2006/relationships/hyperlink" Id="rId22" Target="https://www.congress.gov/bill/117th-congress/senate-bill/389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