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udall-foundation"/>
    <w:p>
      <w:pPr>
        <w:pStyle w:val="Heading1"/>
      </w:pPr>
      <w:r>
        <w:t xml:space="preserve">Udall Foundation</w:t>
      </w:r>
    </w:p>
    <w:bookmarkStart w:id="23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2024: Fitzpatrick Voted To Reauthorize The Udall Foundation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2028.</w:t>
      </w:r>
      <w:r>
        <w:t xml:space="preserve"> </w:t>
      </w:r>
      <w:r>
        <w:t xml:space="preserve">In February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reauthorize</w:t>
      </w:r>
      <w:r>
        <w:t xml:space="preserve"> </w:t>
      </w:r>
      <w:r>
        <w:t xml:space="preserve">the Morris K. Udall and Stewart L. Udall Foundation through fiscal 2028.</w:t>
      </w:r>
      <w:r>
        <w:t xml:space="preserve"> </w:t>
      </w:r>
      <w:r>
        <w:t xml:space="preserve">It would authorize $2 million in annual funding for the Udall Trust</w:t>
      </w:r>
      <w:r>
        <w:t xml:space="preserve"> </w:t>
      </w:r>
      <w:r>
        <w:t xml:space="preserve">Fund through fiscal 2023. The bill would prohibit the foundation from</w:t>
      </w:r>
      <w:r>
        <w:t xml:space="preserve"> </w:t>
      </w:r>
      <w:r>
        <w:t xml:space="preserve">spending any interest generated by the funds appropriated to the trust</w:t>
      </w:r>
      <w:r>
        <w:t xml:space="preserve"> </w:t>
      </w:r>
      <w:r>
        <w:t xml:space="preserve">fund, starting in fiscal 2024, on education programs and scholarships</w:t>
      </w:r>
      <w:r>
        <w:t xml:space="preserve"> </w:t>
      </w:r>
      <w:r>
        <w:t xml:space="preserve">without further Congressional appropriations. It also would authorize</w:t>
      </w:r>
      <w:r>
        <w:t xml:space="preserve"> </w:t>
      </w:r>
      <w:r>
        <w:t xml:space="preserve">$4 million annually to be deposited into the Environmental Dispute</w:t>
      </w:r>
      <w:r>
        <w:t xml:space="preserve"> </w:t>
      </w:r>
      <w:r>
        <w:t xml:space="preserve">Resolution Fund. Of that amount, $3 million would be allocated each</w:t>
      </w:r>
      <w:r>
        <w:t xml:space="preserve"> </w:t>
      </w:r>
      <w:r>
        <w:t xml:space="preserve">year for operations of the McCain Center for Environmental Conflict</w:t>
      </w:r>
      <w:r>
        <w:t xml:space="preserve"> </w:t>
      </w:r>
      <w:r>
        <w:t xml:space="preserve">Resolution and $1 million for grants to help state and local</w:t>
      </w:r>
      <w:r>
        <w:t xml:space="preserve"> </w:t>
      </w:r>
      <w:r>
        <w:t xml:space="preserve">governments, tribes, and non-government entities participate in</w:t>
      </w:r>
      <w:r>
        <w:t xml:space="preserve"> </w:t>
      </w:r>
      <w:r>
        <w:t xml:space="preserve">environmental conflict resolution proceedings. It would require the</w:t>
      </w:r>
      <w:r>
        <w:t xml:space="preserve"> </w:t>
      </w:r>
      <w:r>
        <w:t xml:space="preserve">inspector general of the Interior Department to complete an audit of the</w:t>
      </w:r>
      <w:r>
        <w:t xml:space="preserve"> </w:t>
      </w:r>
      <w:r>
        <w:t xml:space="preserve">Morris K. Udall and Stewart L. Udall Foundation within four years of the</w:t>
      </w:r>
      <w:r>
        <w:t xml:space="preserve"> </w:t>
      </w:r>
      <w:r>
        <w:t xml:space="preserve">bill’s enactment.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350 to 58. [House Vote 32,</w:t>
      </w:r>
      <w:r>
        <w:t xml:space="preserve"> </w:t>
      </w:r>
      <w:hyperlink r:id="rId20">
        <w:r>
          <w:rPr>
            <w:rStyle w:val="Hyperlink"/>
          </w:rPr>
          <w:t xml:space="preserve">2/5/24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2882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32.xml" TargetMode="External" /><Relationship Type="http://schemas.openxmlformats.org/officeDocument/2006/relationships/hyperlink" Id="rId21" Target="https://plus.cq.com/search?22&amp;search=7X0SwjK3" TargetMode="External" /><Relationship Type="http://schemas.openxmlformats.org/officeDocument/2006/relationships/hyperlink" Id="rId22" Target="https://www.congress.gov/bill/118th-congress/house-bill/288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32.xml" TargetMode="External" /><Relationship Type="http://schemas.openxmlformats.org/officeDocument/2006/relationships/hyperlink" Id="rId21" Target="https://plus.cq.com/search?22&amp;search=7X0SwjK3" TargetMode="External" /><Relationship Type="http://schemas.openxmlformats.org/officeDocument/2006/relationships/hyperlink" Id="rId22" Target="https://www.congress.gov/bill/118th-congress/house-bill/288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