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department-of-interior"/>
    <w:p>
      <w:pPr>
        <w:pStyle w:val="Heading1"/>
      </w:pPr>
      <w:r>
        <w:t xml:space="preserve">Department Of Interior</w:t>
      </w:r>
    </w:p>
    <w:bookmarkStart w:id="31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Appropriating $16.7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Interior Department For FY 2023, Including $3.6 Billion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Park Service.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against the Transportation, Housing and</w:t>
      </w:r>
      <w:r>
        <w:t xml:space="preserve"> </w:t>
      </w:r>
      <w:r>
        <w:t xml:space="preserve">Urban Development, and Related Agencies Appropriations Act,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$16.7 billion for the Interior Department, including</w:t>
      </w:r>
      <w:r>
        <w:t xml:space="preserve"> </w:t>
      </w:r>
      <w:r>
        <w:t xml:space="preserve">$3.6 billion for the National Park Service.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220-207, thus the bill was sent to</w:t>
      </w:r>
      <w:r>
        <w:t xml:space="preserve"> </w:t>
      </w:r>
      <w:r>
        <w:t xml:space="preserve">the Senate. The Senate did not take substantive action on the</w:t>
      </w:r>
      <w:r>
        <w:t xml:space="preserve"> </w:t>
      </w:r>
      <w:r>
        <w:t xml:space="preserve">legislation. Congress passed and signed into law the FY 2023 Budget</w:t>
      </w:r>
      <w:r>
        <w:t xml:space="preserve"> </w:t>
      </w:r>
      <w:r>
        <w:t xml:space="preserve">through H.R. 2617. [House Vote 383,</w:t>
      </w:r>
      <w:r>
        <w:t xml:space="preserve"> </w:t>
      </w:r>
      <w:hyperlink r:id="rId20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$13.5 Billion For The Interior Department.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2019, Fitzpatrick voted for the FY 2020 minibus spending bill, which</w:t>
      </w:r>
      <w:r>
        <w:t xml:space="preserve"> </w:t>
      </w:r>
      <w:r>
        <w:t xml:space="preserve">represented 8 of the 12 appropriations bills.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provides a total of $13.5 billion in discretionary</w:t>
      </w:r>
      <w:r>
        <w:t xml:space="preserve"> </w:t>
      </w:r>
      <w:r>
        <w:t xml:space="preserve">funding for the Interior Department and related agencies — $545</w:t>
      </w:r>
      <w:r>
        <w:t xml:space="preserve"> </w:t>
      </w:r>
      <w:r>
        <w:t xml:space="preserve">million more than FY 2019 and $2.1 billion (19%) more than the</w:t>
      </w:r>
      <w:r>
        <w:t xml:space="preserve"> </w:t>
      </w:r>
      <w:r>
        <w:t xml:space="preserve">administration's request. It also provides $62 million in mandatory</w:t>
      </w:r>
      <w:r>
        <w:t xml:space="preserve"> </w:t>
      </w:r>
      <w:r>
        <w:t xml:space="preserve">funding and $300 million in adjustments to the budget caps, bringing</w:t>
      </w:r>
      <w:r>
        <w:t xml:space="preserve"> </w:t>
      </w:r>
      <w:r>
        <w:t xml:space="preserve">the overall total for the department to $13.9 billion.</w:t>
      </w:r>
      <w:r>
        <w:t xml:space="preserve">”</w:t>
      </w:r>
      <w:r>
        <w:t xml:space="preserve"> </w:t>
      </w:r>
      <w:r>
        <w:t xml:space="preserve">The vote was a</w:t>
      </w:r>
      <w:r>
        <w:t xml:space="preserve"> </w:t>
      </w:r>
      <w:r>
        <w:t xml:space="preserve">motion to concur in the Senate amendment. The House agreed to the motion</w:t>
      </w:r>
      <w:r>
        <w:t xml:space="preserve"> </w:t>
      </w:r>
      <w:r>
        <w:t xml:space="preserve">by a vote of 297-120. The Senate later passed the bill and the President</w:t>
      </w:r>
      <w:r>
        <w:t xml:space="preserve"> </w:t>
      </w:r>
      <w:r>
        <w:t xml:space="preserve">signed the bill into law. [House Vote 689,</w:t>
      </w:r>
      <w:r>
        <w:t xml:space="preserve"> </w:t>
      </w:r>
      <w:hyperlink r:id="rId23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2020 Minibus Provided $1.4 Billion For The Bureau Of Land</w:t>
      </w:r>
      <w:r>
        <w:rPr>
          <w:bCs/>
          <w:b/>
        </w:rPr>
        <w:t xml:space="preserve"> </w:t>
      </w:r>
      <w:r>
        <w:rPr>
          <w:bCs/>
          <w:b/>
        </w:rPr>
        <w:t xml:space="preserve">Management.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</w:t>
      </w:r>
      <w:r>
        <w:t xml:space="preserve"> </w:t>
      </w:r>
      <w:r>
        <w:t xml:space="preserve">provides $1.4 billion in discretionary funding for Bureau of Land</w:t>
      </w:r>
      <w:r>
        <w:t xml:space="preserve"> </w:t>
      </w:r>
      <w:r>
        <w:t xml:space="preserve">Management (BLM) activities, $24 million more than FY 2019 and</w:t>
      </w:r>
      <w:r>
        <w:t xml:space="preserve"> </w:t>
      </w:r>
      <w:r>
        <w:t xml:space="preserve">$182 million more than requested, and it provides $1.6 billion for</w:t>
      </w:r>
      <w:r>
        <w:t xml:space="preserve"> </w:t>
      </w:r>
      <w:r>
        <w:t xml:space="preserve">the U.S. Fish and Wildlife Service, $66 million more than FY 2019.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12/17/19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To Reduce Interior And Environment Discretionary Funding</w:t>
      </w:r>
      <w:r>
        <w:rPr>
          <w:bCs/>
          <w:b/>
        </w:rPr>
        <w:t xml:space="preserve"> </w:t>
      </w:r>
      <w:r>
        <w:rPr>
          <w:bCs/>
          <w:b/>
        </w:rPr>
        <w:t xml:space="preserve">By 23.6 Percent.</w:t>
      </w:r>
      <w:r>
        <w:t xml:space="preserve"> </w:t>
      </w:r>
      <w:r>
        <w:t xml:space="preserve">In June 2019, Fitzpatrick voted against an amendment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reduce by 23.6</w:t>
      </w:r>
      <w:r>
        <w:t xml:space="preserve"> </w:t>
      </w:r>
      <w:r>
        <w:t xml:space="preserve">percent all discretionary funding available under the Interior,</w:t>
      </w:r>
      <w:r>
        <w:t xml:space="preserve"> </w:t>
      </w:r>
      <w:r>
        <w:t xml:space="preserve">Environment and related agencies title of the bill (Division C).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the amendment. The House rejected the amendment</w:t>
      </w:r>
      <w:r>
        <w:t xml:space="preserve"> </w:t>
      </w:r>
      <w:r>
        <w:t xml:space="preserve">by a vote of 128-304. [House Vote 388,</w:t>
      </w:r>
      <w:r>
        <w:t xml:space="preserve"> </w:t>
      </w:r>
      <w:hyperlink r:id="rId27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H.Amdt.447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H.R.3055</w:t>
        </w:r>
      </w:hyperlink>
      <w:r>
        <w:t xml:space="preserve">]</w:t>
      </w:r>
    </w:p>
    <w:bookmarkEnd w:id="31"/>
    <w:bookmarkStart w:id="35" w:name="rfk-stadium"/>
    <w:p>
      <w:pPr>
        <w:pStyle w:val="Heading3"/>
      </w:pPr>
      <w:r>
        <w:t xml:space="preserve">RFK Stadium</w:t>
      </w:r>
    </w:p>
    <w:p>
      <w:pPr>
        <w:pStyle w:val="FirstParagraph"/>
      </w:pPr>
      <w:r>
        <w:rPr>
          <w:bCs/>
          <w:b/>
        </w:rPr>
        <w:t xml:space="preserve">2024: Fitzpatrick Voted To Transfer Authority Of The RFK Stadium From</w:t>
      </w:r>
      <w:r>
        <w:rPr>
          <w:bCs/>
          <w:b/>
        </w:rPr>
        <w:t xml:space="preserve"> </w:t>
      </w:r>
      <w:r>
        <w:rPr>
          <w:bCs/>
          <w:b/>
        </w:rPr>
        <w:t xml:space="preserve">The Department Of Interior To D.C.</w:t>
      </w:r>
      <w:r>
        <w:t xml:space="preserve"> </w:t>
      </w:r>
      <w:r>
        <w:t xml:space="preserve">In February 2024, Fitzpatrick voted</w:t>
      </w:r>
      <w:r>
        <w:t xml:space="preserve"> </w:t>
      </w:r>
      <w:r>
        <w:t xml:space="preserve">for , according to Congressional Quarterly,</w:t>
      </w:r>
      <w:r>
        <w:t xml:space="preserve"> </w:t>
      </w:r>
      <w:r>
        <w:t xml:space="preserve">“</w:t>
      </w:r>
      <w:r>
        <w:t xml:space="preserve">the bill, as amended, that</w:t>
      </w:r>
      <w:r>
        <w:t xml:space="preserve"> </w:t>
      </w:r>
      <w:r>
        <w:t xml:space="preserve">would require the Interior Department to transfer administrative</w:t>
      </w:r>
      <w:r>
        <w:t xml:space="preserve"> </w:t>
      </w:r>
      <w:r>
        <w:t xml:space="preserve">jurisdiction over the Robert F. Kennedy Memorial Stadium Campus to the</w:t>
      </w:r>
      <w:r>
        <w:t xml:space="preserve"> </w:t>
      </w:r>
      <w:r>
        <w:t xml:space="preserve">District of Columbia within 180 days of the bill's enactment for a term</w:t>
      </w:r>
      <w:r>
        <w:t xml:space="preserve"> </w:t>
      </w:r>
      <w:r>
        <w:t xml:space="preserve">of at least 99 years. It would allow D.C. to develop and use the campus</w:t>
      </w:r>
      <w:r>
        <w:t xml:space="preserve"> </w:t>
      </w:r>
      <w:r>
        <w:t xml:space="preserve">for stadium purposes, including training facilities and offices;</w:t>
      </w:r>
      <w:r>
        <w:t xml:space="preserve"> </w:t>
      </w:r>
      <w:r>
        <w:t xml:space="preserve">commercial and residential development; facilities, open space and</w:t>
      </w:r>
      <w:r>
        <w:t xml:space="preserve"> </w:t>
      </w:r>
      <w:r>
        <w:t xml:space="preserve">public outdoor opportunities; and demolition purposes to facilitate</w:t>
      </w:r>
      <w:r>
        <w:t xml:space="preserve"> </w:t>
      </w:r>
      <w:r>
        <w:t xml:space="preserve">development. However, it would stipulate that for D.C. to move forward</w:t>
      </w:r>
      <w:r>
        <w:t xml:space="preserve"> </w:t>
      </w:r>
      <w:r>
        <w:t xml:space="preserve">with development, it must follow certain guidelines, including providing</w:t>
      </w:r>
      <w:r>
        <w:t xml:space="preserve"> </w:t>
      </w:r>
      <w:r>
        <w:t xml:space="preserve">parking facilities, public safety and security measures and reducing the</w:t>
      </w:r>
      <w:r>
        <w:t xml:space="preserve"> </w:t>
      </w:r>
      <w:r>
        <w:t xml:space="preserve">impact of noise and traffic. It would stipulate that D.C. would be</w:t>
      </w:r>
      <w:r>
        <w:t xml:space="preserve"> </w:t>
      </w:r>
      <w:r>
        <w:t xml:space="preserve">responsible for paying any costs associated with transferring the</w:t>
      </w:r>
      <w:r>
        <w:t xml:space="preserve"> </w:t>
      </w:r>
      <w:r>
        <w:t xml:space="preserve">administrative jurisdiction. It would require the jurisdiction to revert</w:t>
      </w:r>
      <w:r>
        <w:t xml:space="preserve"> </w:t>
      </w:r>
      <w:r>
        <w:t xml:space="preserve">to the department if the terms of the bill have not been complied with</w:t>
      </w:r>
      <w:r>
        <w:t xml:space="preserve"> </w:t>
      </w:r>
      <w:r>
        <w:t xml:space="preserve">and not been corrected within 90 days of a written notice of</w:t>
      </w:r>
      <w:r>
        <w:t xml:space="preserve"> </w:t>
      </w:r>
      <w:r>
        <w:t xml:space="preserve">noncompliance. It would prohibit D.C. from using federal funds for</w:t>
      </w:r>
      <w:r>
        <w:t xml:space="preserve"> </w:t>
      </w:r>
      <w:r>
        <w:t xml:space="preserve">stadium purposes on the campus.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348 to 55. [House Vote 56,</w:t>
      </w:r>
      <w:r>
        <w:t xml:space="preserve"> </w:t>
      </w:r>
      <w:hyperlink r:id="rId32">
        <w:r>
          <w:rPr>
            <w:rStyle w:val="Hyperlink"/>
          </w:rPr>
          <w:t xml:space="preserve">2/28/24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2/28/24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4984</w:t>
        </w:r>
      </w:hyperlink>
      <w:r>
        <w:t xml:space="preserve">]</w:t>
      </w:r>
    </w:p>
    <w:bookmarkEnd w:id="35"/>
    <w:bookmarkStart w:id="39" w:name="rosenwald-studies"/>
    <w:p>
      <w:pPr>
        <w:pStyle w:val="Heading3"/>
      </w:pPr>
      <w:r>
        <w:t xml:space="preserve">Rosenwald Studies</w:t>
      </w:r>
    </w:p>
    <w:p>
      <w:pPr>
        <w:pStyle w:val="FirstParagraph"/>
      </w:pPr>
      <w:r>
        <w:rPr>
          <w:bCs/>
          <w:b/>
        </w:rPr>
        <w:t xml:space="preserve">2020: Fitzpatrick Voted For Conducting A Study The Sites And Schools</w:t>
      </w:r>
      <w:r>
        <w:rPr>
          <w:bCs/>
          <w:b/>
        </w:rPr>
        <w:t xml:space="preserve"> </w:t>
      </w:r>
      <w:r>
        <w:rPr>
          <w:bCs/>
          <w:b/>
        </w:rPr>
        <w:t xml:space="preserve">Associated With Philanthropist Julius Rosenwald To Evaluate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Significance And Determine Feasibility To Add Them As Part Of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Park System.</w:t>
      </w:r>
      <w:r>
        <w:t xml:space="preserve"> </w:t>
      </w:r>
      <w:r>
        <w:t xml:space="preserve">In December 2020, Fitzpatrick voted for the</w:t>
      </w:r>
      <w:r>
        <w:t xml:space="preserve"> </w:t>
      </w:r>
      <w:r>
        <w:t xml:space="preserve">Julius Rosenwald and the Rosenwald Schools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Interior Department to conduct a</w:t>
      </w:r>
      <w:r>
        <w:t xml:space="preserve"> </w:t>
      </w:r>
      <w:r>
        <w:t xml:space="preserve">special resource study on schools and other sites associated with the</w:t>
      </w:r>
      <w:r>
        <w:t xml:space="preserve"> </w:t>
      </w:r>
      <w:r>
        <w:t xml:space="preserve">legacy of American philanthropist Julius Rosenwald to evaluate their</w:t>
      </w:r>
      <w:r>
        <w:t xml:space="preserve"> </w:t>
      </w:r>
      <w:r>
        <w:t xml:space="preserve">national significance, determine the feasibility of designating them as</w:t>
      </w:r>
      <w:r>
        <w:t xml:space="preserve"> </w:t>
      </w:r>
      <w:r>
        <w:t xml:space="preserve">part of the National Park System, and identify alternatives and cost</w:t>
      </w:r>
      <w:r>
        <w:t xml:space="preserve"> </w:t>
      </w:r>
      <w:r>
        <w:t xml:space="preserve">estimates for preservation and protection. It would require the</w:t>
      </w:r>
      <w:r>
        <w:t xml:space="preserve"> </w:t>
      </w:r>
      <w:r>
        <w:t xml:space="preserve">department to submit to Congress the findings of the study within three</w:t>
      </w:r>
      <w:r>
        <w:t xml:space="preserve"> </w:t>
      </w:r>
      <w:r>
        <w:t xml:space="preserve">years of the date on which the study is funded.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387-5. [House Vote 245,</w:t>
      </w:r>
      <w:r>
        <w:t xml:space="preserve"> </w:t>
      </w:r>
      <w:hyperlink r:id="rId36">
        <w:r>
          <w:rPr>
            <w:rStyle w:val="Hyperlink"/>
          </w:rPr>
          <w:t xml:space="preserve">12/17/20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12/17/20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3250</w:t>
        </w:r>
      </w:hyperlink>
      <w:r>
        <w:t xml:space="preserve">]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19/roll388.xml" TargetMode="External" /><Relationship Type="http://schemas.openxmlformats.org/officeDocument/2006/relationships/hyperlink" Id="rId23" Target="http://clerk.house.gov/evs/2019/roll689.xml" TargetMode="External" /><Relationship Type="http://schemas.openxmlformats.org/officeDocument/2006/relationships/hyperlink" Id="rId36" Target="http://clerk.house.gov/evs/2020/roll245.xml" TargetMode="External" /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32" Target="http://clerk.house.gov/evs/2024/roll056.xml" TargetMode="External" /><Relationship Type="http://schemas.openxmlformats.org/officeDocument/2006/relationships/hyperlink" Id="rId26" Target="http://www.cq.com/doc/har-5795082?25&amp;search=h8w9brXz" TargetMode="External" /><Relationship Type="http://schemas.openxmlformats.org/officeDocument/2006/relationships/hyperlink" Id="rId28" Target="https://plus.cq.com/vote/2019/H/388?1" TargetMode="External" /><Relationship Type="http://schemas.openxmlformats.org/officeDocument/2006/relationships/hyperlink" Id="rId24" Target="https://plus.cq.com/vote/2019/H/689?8" TargetMode="External" /><Relationship Type="http://schemas.openxmlformats.org/officeDocument/2006/relationships/hyperlink" Id="rId37" Target="https://plus.cq.com/vote/2020/H/245?44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33" Target="https://plus.cq.com/vote/2024/H/56?22" TargetMode="External" /><Relationship Type="http://schemas.openxmlformats.org/officeDocument/2006/relationships/hyperlink" Id="rId29" Target="https://www.congress.gov/amendment/116th-congress/house-amendment/447/actions" TargetMode="External" /><Relationship Type="http://schemas.openxmlformats.org/officeDocument/2006/relationships/hyperlink" Id="rId25" Target="https://www.congress.gov/bill/116th-congress/house-bill/1865/all-actions?q=%7b%22search%22%3A%5B%22hr+1865%22%5D%7d&amp;s=4&amp;r=1" TargetMode="External" /><Relationship Type="http://schemas.openxmlformats.org/officeDocument/2006/relationships/hyperlink" Id="rId30" Target="https://www.congress.gov/bill/116th-congress/house-bill/3055/all-actions?q=%7b%22search%22%3A%5B%22hr+3055%22%5D%7d&amp;s=2&amp;r=1" TargetMode="External" /><Relationship Type="http://schemas.openxmlformats.org/officeDocument/2006/relationships/hyperlink" Id="rId38" Target="https://www.congress.gov/bill/116th-congress/house-bill/3250/actions" TargetMode="External" /><Relationship Type="http://schemas.openxmlformats.org/officeDocument/2006/relationships/hyperlink" Id="rId22" Target="https://www.congress.gov/bill/117th-congress/house-bill/8294/actions" TargetMode="External" /><Relationship Type="http://schemas.openxmlformats.org/officeDocument/2006/relationships/hyperlink" Id="rId34" Target="https://www.congress.gov/bill/118th-congress/house-bill/498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19/roll388.xml" TargetMode="External" /><Relationship Type="http://schemas.openxmlformats.org/officeDocument/2006/relationships/hyperlink" Id="rId23" Target="http://clerk.house.gov/evs/2019/roll689.xml" TargetMode="External" /><Relationship Type="http://schemas.openxmlformats.org/officeDocument/2006/relationships/hyperlink" Id="rId36" Target="http://clerk.house.gov/evs/2020/roll245.xml" TargetMode="External" /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32" Target="http://clerk.house.gov/evs/2024/roll056.xml" TargetMode="External" /><Relationship Type="http://schemas.openxmlformats.org/officeDocument/2006/relationships/hyperlink" Id="rId26" Target="http://www.cq.com/doc/har-5795082?25&amp;search=h8w9brXz" TargetMode="External" /><Relationship Type="http://schemas.openxmlformats.org/officeDocument/2006/relationships/hyperlink" Id="rId28" Target="https://plus.cq.com/vote/2019/H/388?1" TargetMode="External" /><Relationship Type="http://schemas.openxmlformats.org/officeDocument/2006/relationships/hyperlink" Id="rId24" Target="https://plus.cq.com/vote/2019/H/689?8" TargetMode="External" /><Relationship Type="http://schemas.openxmlformats.org/officeDocument/2006/relationships/hyperlink" Id="rId37" Target="https://plus.cq.com/vote/2020/H/245?44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33" Target="https://plus.cq.com/vote/2024/H/56?22" TargetMode="External" /><Relationship Type="http://schemas.openxmlformats.org/officeDocument/2006/relationships/hyperlink" Id="rId29" Target="https://www.congress.gov/amendment/116th-congress/house-amendment/447/actions" TargetMode="External" /><Relationship Type="http://schemas.openxmlformats.org/officeDocument/2006/relationships/hyperlink" Id="rId25" Target="https://www.congress.gov/bill/116th-congress/house-bill/1865/all-actions?q=%7b%22search%22%3A%5B%22hr+1865%22%5D%7d&amp;s=4&amp;r=1" TargetMode="External" /><Relationship Type="http://schemas.openxmlformats.org/officeDocument/2006/relationships/hyperlink" Id="rId30" Target="https://www.congress.gov/bill/116th-congress/house-bill/3055/all-actions?q=%7b%22search%22%3A%5B%22hr+3055%22%5D%7d&amp;s=2&amp;r=1" TargetMode="External" /><Relationship Type="http://schemas.openxmlformats.org/officeDocument/2006/relationships/hyperlink" Id="rId38" Target="https://www.congress.gov/bill/116th-congress/house-bill/3250/actions" TargetMode="External" /><Relationship Type="http://schemas.openxmlformats.org/officeDocument/2006/relationships/hyperlink" Id="rId22" Target="https://www.congress.gov/bill/117th-congress/house-bill/8294/actions" TargetMode="External" /><Relationship Type="http://schemas.openxmlformats.org/officeDocument/2006/relationships/hyperlink" Id="rId34" Target="https://www.congress.gov/bill/118th-congress/house-bill/498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